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A53C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E5E115E">
            <w:pPr>
              <w:pStyle w:val="19"/>
              <w:framePr w:wrap="notBeside" w:vAnchor="page" w:hAnchor="page" w:x="1372" w:y="568"/>
              <w:tabs>
                <w:tab w:val="clear" w:pos="4153"/>
                <w:tab w:val="clear" w:pos="8306"/>
              </w:tabs>
              <w:spacing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14:paraId="49CCE8C3">
            <w:pPr>
              <w:pStyle w:val="19"/>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begin">
                <w:ffData>
                  <w:name w:val="ICS"/>
                  <w:enabled/>
                  <w:calcOnExit w:val="0"/>
                  <w:textInput>
                    <w:default w:val="点击此处添加CCS号"/>
                  </w:textInput>
                </w:ffData>
              </w:fldChar>
            </w:r>
            <w:bookmarkStart w:id="0" w:name="ICS"/>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C23</w:t>
            </w:r>
          </w:p>
          <w:p w14:paraId="550A61B9">
            <w:pPr>
              <w:pStyle w:val="19"/>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end"/>
            </w:r>
            <w:bookmarkEnd w:id="0"/>
          </w:p>
        </w:tc>
      </w:tr>
    </w:tbl>
    <w:tbl>
      <w:tblPr>
        <w:tblStyle w:val="28"/>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31A8640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4B951737">
            <w:pPr>
              <w:pStyle w:val="50"/>
              <w:framePr w:w="0" w:hRule="auto" w:wrap="auto" w:vAnchor="margin" w:hAnchor="text" w:xAlign="left" w:yAlign="inline"/>
              <w:rPr>
                <w:rFonts w:hint="eastAsia" w:ascii="宋体" w:hAnsi="宋体"/>
                <w:sz w:val="28"/>
                <w:szCs w:val="28"/>
              </w:rPr>
            </w:pPr>
            <w:bookmarkStart w:id="1" w:name="_Hlk26473981"/>
            <w: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t>/</w:t>
            </w:r>
            <w:r>
              <w:fldChar w:fldCharType="begin">
                <w:ffData>
                  <w:name w:val="c1"/>
                  <w:enabled/>
                  <w:calcOnExit w:val="0"/>
                  <w:textInput>
                    <w:maxLength w:val="7"/>
                  </w:textInput>
                </w:ffData>
              </w:fldChar>
            </w:r>
            <w:bookmarkStart w:id="2" w:name="c1"/>
            <w:r>
              <w:instrText xml:space="preserve"> FORMTEXT </w:instrText>
            </w:r>
            <w:r>
              <w:fldChar w:fldCharType="separate"/>
            </w:r>
            <w:r>
              <w:rPr>
                <w:rFonts w:hint="eastAsia"/>
              </w:rPr>
              <w:t>L</w:t>
            </w:r>
            <w:r>
              <w:t>TZ</w:t>
            </w:r>
            <w:r>
              <w:fldChar w:fldCharType="end"/>
            </w:r>
            <w:bookmarkEnd w:id="2"/>
          </w:p>
        </w:tc>
      </w:tr>
    </w:tbl>
    <w:p w14:paraId="24136D71">
      <w:pPr>
        <w:pStyle w:val="51"/>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四川天植中药股份有限公司</w:t>
      </w:r>
      <w:r>
        <w:rPr>
          <w:rFonts w:ascii="黑体" w:eastAsia="黑体"/>
          <w:b w:val="0"/>
          <w:w w:val="100"/>
          <w:sz w:val="48"/>
        </w:rPr>
        <w:fldChar w:fldCharType="end"/>
      </w:r>
      <w:bookmarkEnd w:id="3"/>
      <w:r>
        <w:rPr>
          <w:rFonts w:hint="eastAsia" w:ascii="黑体" w:eastAsia="黑体"/>
          <w:b w:val="0"/>
          <w:w w:val="100"/>
          <w:sz w:val="48"/>
        </w:rPr>
        <w:t>企业</w:t>
      </w:r>
      <w:r>
        <w:rPr>
          <w:rFonts w:hint="eastAsia" w:ascii="黑体" w:hAnsi="黑体" w:eastAsia="黑体"/>
          <w:b w:val="0"/>
          <w:bCs w:val="0"/>
          <w:w w:val="100"/>
          <w:sz w:val="48"/>
          <w:szCs w:val="48"/>
        </w:rPr>
        <w:t>标准</w:t>
      </w:r>
    </w:p>
    <w:bookmarkEnd w:id="1"/>
    <w:p w14:paraId="185A414C">
      <w:pPr>
        <w:pStyle w:val="196"/>
      </w:pPr>
      <w:r>
        <w:t>Q/</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S</w:t>
      </w:r>
      <w:r>
        <w:t>TZ</w:t>
      </w:r>
      <w:r>
        <w:fldChar w:fldCharType="end"/>
      </w:r>
      <w:bookmarkEnd w:id="4"/>
      <w:r>
        <w:t xml:space="preserve"> </w:t>
      </w:r>
      <w:r>
        <w:rPr>
          <w:rFonts w:hint="eastAsia"/>
        </w:rPr>
        <w:t>0002</w:t>
      </w:r>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202</w:t>
      </w:r>
      <w:r>
        <w:rPr>
          <w:rFonts w:hint="eastAsia"/>
        </w:rPr>
        <w:t>5</w:t>
      </w:r>
      <w:r>
        <w:fldChar w:fldCharType="end"/>
      </w:r>
      <w:bookmarkEnd w:id="5"/>
    </w:p>
    <w:p w14:paraId="5987D1C1">
      <w:pPr>
        <w:pStyle w:val="197"/>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4A86CE73">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0AAFCDA">
      <w:pPr>
        <w:pStyle w:val="51"/>
        <w:framePr w:w="9639" w:h="6976" w:hRule="exact" w:hSpace="0" w:vSpace="0" w:wrap="around" w:hAnchor="page" w:y="6408"/>
        <w:jc w:val="center"/>
        <w:rPr>
          <w:rFonts w:hint="eastAsia" w:ascii="黑体" w:hAnsi="黑体" w:eastAsia="黑体"/>
          <w:b w:val="0"/>
          <w:bCs w:val="0"/>
          <w:w w:val="100"/>
        </w:rPr>
      </w:pPr>
    </w:p>
    <w:p w14:paraId="101BB7E9">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川产道地药材"三五二"工程</w:t>
      </w:r>
    </w:p>
    <w:p w14:paraId="63615452">
      <w:pPr>
        <w:pStyle w:val="198"/>
        <w:framePr w:h="6974" w:hRule="exact" w:wrap="around" w:x="1419" w:anchorLock="1"/>
        <w:rPr>
          <w:rFonts w:hint="eastAsia"/>
        </w:rPr>
      </w:pPr>
      <w:r>
        <w:rPr>
          <w:rFonts w:hint="eastAsia"/>
        </w:rPr>
        <w:t>质量追溯体系要求</w:t>
      </w:r>
    </w:p>
    <w:p w14:paraId="7361BC59">
      <w:pPr>
        <w:pStyle w:val="198"/>
        <w:framePr w:h="6974" w:hRule="exact" w:wrap="around" w:x="1419" w:anchorLock="1"/>
        <w:rPr>
          <w:rFonts w:hint="eastAsia"/>
        </w:rPr>
      </w:pPr>
      <w:r>
        <w:rPr>
          <w:rFonts w:hint="eastAsia"/>
        </w:rPr>
        <w:t>枳壳</w:t>
      </w:r>
      <w:r>
        <w:fldChar w:fldCharType="end"/>
      </w:r>
      <w:bookmarkEnd w:id="7"/>
    </w:p>
    <w:p w14:paraId="27ECBB90">
      <w:pPr>
        <w:framePr w:w="9639" w:h="6974" w:hRule="exact" w:wrap="around" w:vAnchor="page" w:hAnchor="page" w:x="1419" w:y="6408" w:anchorLock="1"/>
        <w:ind w:left="-1418"/>
      </w:pPr>
    </w:p>
    <w:p w14:paraId="3FE43AC3">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 xml:space="preserve"> </w:t>
      </w:r>
      <w:r>
        <w:rPr>
          <w:rFonts w:eastAsia="黑体"/>
          <w:szCs w:val="28"/>
        </w:rPr>
        <w:fldChar w:fldCharType="end"/>
      </w:r>
      <w:bookmarkEnd w:id="8"/>
    </w:p>
    <w:p w14:paraId="31AF0E34">
      <w:pPr>
        <w:framePr w:w="9639" w:h="6974" w:hRule="exact" w:wrap="around" w:vAnchor="page" w:hAnchor="page" w:x="1419" w:y="6408" w:anchorLock="1"/>
        <w:spacing w:line="760" w:lineRule="exact"/>
        <w:ind w:left="-1418"/>
      </w:pPr>
    </w:p>
    <w:p w14:paraId="23C09FAF">
      <w:pPr>
        <w:pStyle w:val="126"/>
        <w:framePr w:w="9639" w:h="6974" w:hRule="exact" w:wrap="around" w:vAnchor="page" w:hAnchor="page" w:x="1419" w:y="6408" w:anchorLock="1"/>
        <w:textAlignment w:val="bottom"/>
        <w:rPr>
          <w:rFonts w:eastAsia="黑体"/>
          <w:szCs w:val="28"/>
        </w:rPr>
      </w:pPr>
    </w:p>
    <w:p w14:paraId="2FBAB84B">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293CE62C">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rFonts w:hint="eastAsia"/>
          <w:sz w:val="21"/>
          <w:szCs w:val="28"/>
        </w:rPr>
        <w:t xml:space="preserve">  </w:t>
      </w:r>
      <w:r>
        <w:rPr>
          <w:sz w:val="21"/>
          <w:szCs w:val="28"/>
        </w:rPr>
        <w:fldChar w:fldCharType="end"/>
      </w:r>
      <w:bookmarkEnd w:id="10"/>
    </w:p>
    <w:p w14:paraId="2056E00E">
      <w:pPr>
        <w:pStyle w:val="126"/>
        <w:framePr w:w="9639" w:h="6974" w:hRule="exact" w:wrap="around" w:vAnchor="page" w:hAnchor="page" w:x="1419" w:y="6408" w:anchorLock="1"/>
        <w:spacing w:before="720" w:beforeLines="300" w:after="72" w:afterLines="30" w:line="240" w:lineRule="auto"/>
        <w:textAlignment w:val="bottom"/>
        <w:rPr>
          <w:b/>
          <w:sz w:val="21"/>
          <w:szCs w:val="28"/>
        </w:rPr>
      </w:pPr>
    </w:p>
    <w:p w14:paraId="3FDE4A29">
      <w:pPr>
        <w:pStyle w:val="194"/>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14:paraId="4DCFCEE6">
      <w:pPr>
        <w:pStyle w:val="195"/>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14:paraId="38413CC0">
      <w:pPr>
        <w:pStyle w:val="152"/>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四川天植中药股份有限公司</w:t>
      </w:r>
      <w:r>
        <w:rPr>
          <w:rFonts w:hAnsi="黑体"/>
          <w:w w:val="100"/>
          <w:sz w:val="28"/>
        </w:rPr>
        <w:fldChar w:fldCharType="end"/>
      </w:r>
      <w:bookmarkEnd w:id="17"/>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39C45A82">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14:paraId="43BD1127">
      <w:pPr>
        <w:pStyle w:val="92"/>
        <w:spacing w:after="468"/>
      </w:pPr>
      <w:bookmarkStart w:id="18" w:name="BookMark1"/>
      <w:bookmarkStart w:id="19" w:name="_Toc161960340"/>
      <w:bookmarkStart w:id="20" w:name="_Toc163403674"/>
      <w:bookmarkStart w:id="21" w:name="_Toc161931867"/>
      <w:bookmarkStart w:id="22" w:name="_Toc212575527"/>
      <w:bookmarkStart w:id="23" w:name="_Toc161950093"/>
      <w:bookmarkStart w:id="24" w:name="_Toc157793798"/>
      <w:bookmarkStart w:id="25" w:name="_Toc162086080"/>
      <w:bookmarkStart w:id="26" w:name="_Toc212575302"/>
      <w:bookmarkStart w:id="27" w:name="_Toc161842499"/>
      <w:bookmarkStart w:id="28" w:name="_Toc162968064"/>
      <w:r>
        <w:rPr>
          <w:rFonts w:hint="eastAsia"/>
          <w:spacing w:val="320"/>
        </w:rPr>
        <w:t>目</w:t>
      </w:r>
      <w:r>
        <w:rPr>
          <w:rFonts w:hint="eastAsia"/>
        </w:rPr>
        <w:t>次</w:t>
      </w:r>
    </w:p>
    <w:p w14:paraId="128CBB1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"_Toc212578232"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_Toc212578232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3BF28047">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"_Toc212578233" </w:instrText>
      </w:r>
      <w:r>
        <w:fldChar w:fldCharType="separate"/>
      </w:r>
      <w:r>
        <w:rPr>
          <w:rStyle w:val="33"/>
          <w:rFonts w:hint="eastAsia"/>
        </w:rPr>
        <w:t>引言</w:t>
      </w:r>
      <w:r>
        <w:rPr>
          <w:rFonts w:hint="eastAsia"/>
        </w:rPr>
        <w:tab/>
      </w:r>
      <w:r>
        <w:rPr>
          <w:rFonts w:hint="eastAsia"/>
        </w:rPr>
        <w:fldChar w:fldCharType="begin"/>
      </w:r>
      <w:r>
        <w:rPr>
          <w:rFonts w:hint="eastAsia"/>
        </w:rPr>
        <w:instrText xml:space="preserve"> </w:instrText>
      </w:r>
      <w:r>
        <w:instrText xml:space="preserve">PAGEREF _Toc212578233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61300799">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"_Toc212578234"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_Toc212578234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AA05054">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"_Toc212578235"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_Toc212578235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3364E87">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"_Toc212578236"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_Toc212578236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56F6ABC">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"_Toc212578237" </w:instrText>
      </w:r>
      <w:r>
        <w:fldChar w:fldCharType="separate"/>
      </w:r>
      <w:r>
        <w:rPr>
          <w:rStyle w:val="33"/>
          <w:rFonts w:hint="eastAsia"/>
        </w:rPr>
        <w:t>4</w:t>
      </w:r>
      <w:r>
        <w:rPr>
          <w:rStyle w:val="33"/>
        </w:rPr>
        <w:t xml:space="preserve"> </w:t>
      </w:r>
      <w:r>
        <w:rPr>
          <w:rStyle w:val="33"/>
          <w:rFonts w:hint="eastAsia"/>
        </w:rPr>
        <w:t xml:space="preserve"> 追溯原则</w:t>
      </w:r>
      <w:r>
        <w:rPr>
          <w:rFonts w:hint="eastAsia"/>
        </w:rPr>
        <w:tab/>
      </w:r>
      <w:r>
        <w:rPr>
          <w:rFonts w:hint="eastAsia"/>
        </w:rPr>
        <w:fldChar w:fldCharType="begin"/>
      </w:r>
      <w:r>
        <w:rPr>
          <w:rFonts w:hint="eastAsia"/>
        </w:rPr>
        <w:instrText xml:space="preserve"> </w:instrText>
      </w:r>
      <w:r>
        <w:instrText xml:space="preserve">PAGEREF _Toc212578237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E5E7208">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"_Toc212578238" </w:instrText>
      </w:r>
      <w:r>
        <w:fldChar w:fldCharType="separate"/>
      </w:r>
      <w:r>
        <w:rPr>
          <w:rStyle w:val="33"/>
          <w:rFonts w:hint="eastAsia"/>
        </w:rPr>
        <w:t>5</w:t>
      </w:r>
      <w:r>
        <w:rPr>
          <w:rStyle w:val="33"/>
        </w:rPr>
        <w:t xml:space="preserve"> </w:t>
      </w:r>
      <w:r>
        <w:rPr>
          <w:rStyle w:val="33"/>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_Toc212578238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8497E8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"_Toc212578239" </w:instrText>
      </w:r>
      <w:r>
        <w:fldChar w:fldCharType="separate"/>
      </w:r>
      <w:r>
        <w:rPr>
          <w:rStyle w:val="33"/>
          <w:rFonts w:hint="eastAsia"/>
        </w:rPr>
        <w:t>6</w:t>
      </w:r>
      <w:r>
        <w:rPr>
          <w:rStyle w:val="33"/>
        </w:rPr>
        <w:t xml:space="preserve"> </w:t>
      </w:r>
      <w:r>
        <w:rPr>
          <w:rStyle w:val="33"/>
          <w:rFonts w:hint="eastAsia"/>
        </w:rPr>
        <w:t xml:space="preserve"> 追溯信息采集内容</w:t>
      </w:r>
      <w:r>
        <w:rPr>
          <w:rFonts w:hint="eastAsia"/>
        </w:rPr>
        <w:tab/>
      </w:r>
      <w:r>
        <w:rPr>
          <w:rFonts w:hint="eastAsia"/>
        </w:rPr>
        <w:fldChar w:fldCharType="begin"/>
      </w:r>
      <w:r>
        <w:rPr>
          <w:rFonts w:hint="eastAsia"/>
        </w:rPr>
        <w:instrText xml:space="preserve"> </w:instrText>
      </w:r>
      <w:r>
        <w:instrText xml:space="preserve">PAGEREF _Toc212578239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68841AE">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"_Toc212578240" </w:instrText>
      </w:r>
      <w:r>
        <w:fldChar w:fldCharType="separate"/>
      </w:r>
      <w:r>
        <w:rPr>
          <w:rStyle w:val="33"/>
          <w:rFonts w:hint="eastAsia"/>
        </w:rPr>
        <w:t>7</w:t>
      </w:r>
      <w:r>
        <w:rPr>
          <w:rStyle w:val="33"/>
        </w:rPr>
        <w:t xml:space="preserve"> </w:t>
      </w:r>
      <w:r>
        <w:rPr>
          <w:rStyle w:val="33"/>
          <w:rFonts w:hint="eastAsia"/>
        </w:rPr>
        <w:t xml:space="preserve"> 追溯信息管理</w:t>
      </w:r>
      <w:r>
        <w:rPr>
          <w:rFonts w:hint="eastAsia"/>
        </w:rPr>
        <w:tab/>
      </w:r>
      <w:r>
        <w:rPr>
          <w:rFonts w:hint="eastAsia"/>
        </w:rPr>
        <w:fldChar w:fldCharType="begin"/>
      </w:r>
      <w:r>
        <w:rPr>
          <w:rFonts w:hint="eastAsia"/>
        </w:rPr>
        <w:instrText xml:space="preserve"> </w:instrText>
      </w:r>
      <w:r>
        <w:instrText xml:space="preserve">PAGEREF _Toc212578240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C3889BE">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14:paraId="5D8F842E">
      <w:pPr>
        <w:pStyle w:val="90"/>
        <w:spacing w:before="900" w:after="468"/>
      </w:pPr>
      <w:bookmarkStart w:id="29" w:name="_Toc212578232"/>
      <w:bookmarkStart w:id="30" w:name="BookMark2"/>
      <w:r>
        <w:rPr>
          <w:spacing w:val="320"/>
        </w:rPr>
        <w:t>前</w:t>
      </w:r>
      <w:r>
        <w:t>言</w:t>
      </w:r>
      <w:bookmarkEnd w:id="19"/>
      <w:bookmarkEnd w:id="20"/>
      <w:bookmarkEnd w:id="21"/>
      <w:bookmarkEnd w:id="22"/>
      <w:bookmarkEnd w:id="23"/>
      <w:bookmarkEnd w:id="24"/>
      <w:bookmarkEnd w:id="25"/>
      <w:bookmarkEnd w:id="26"/>
      <w:bookmarkEnd w:id="27"/>
      <w:bookmarkEnd w:id="28"/>
      <w:bookmarkEnd w:id="29"/>
    </w:p>
    <w:p w14:paraId="65CECD72">
      <w:pPr>
        <w:pStyle w:val="57"/>
        <w:ind w:firstLine="420"/>
      </w:pPr>
      <w:r>
        <w:rPr>
          <w:rFonts w:hint="eastAsia"/>
        </w:rPr>
        <w:t>本文件</w:t>
      </w:r>
      <w:r>
        <w:rPr>
          <w:rFonts w:hint="eastAsia"/>
          <w:color w:val="000000" w:themeColor="text1"/>
          <w14:textFill>
            <w14:solidFill>
              <w14:schemeClr w14:val="tx1"/>
            </w14:solidFill>
          </w14:textFill>
        </w:rPr>
        <w:t>参</w:t>
      </w:r>
      <w:r>
        <w:rPr>
          <w:rFonts w:hint="eastAsia"/>
        </w:rPr>
        <w:t>照GB/T 1.1—2020《标准化工作导则  第1部分：标准化文件的结构和起草规则》的规定起草。</w:t>
      </w:r>
    </w:p>
    <w:p w14:paraId="49AC8E77">
      <w:pPr>
        <w:pStyle w:val="57"/>
        <w:ind w:firstLine="420"/>
      </w:pPr>
      <w:r>
        <w:rPr>
          <w:rFonts w:hint="eastAsia"/>
        </w:rPr>
        <w:t>本文件由四川天植中药股份有限公司</w:t>
      </w:r>
      <w:bookmarkStart w:id="31" w:name="_Hlk161134084"/>
      <w:r>
        <w:rPr>
          <w:rFonts w:hint="eastAsia"/>
          <w:color w:val="000000" w:themeColor="text1"/>
          <w14:textFill>
            <w14:solidFill>
              <w14:schemeClr w14:val="tx1"/>
            </w14:solidFill>
          </w14:textFill>
        </w:rPr>
        <w:t>提出</w:t>
      </w:r>
      <w:r>
        <w:rPr>
          <w:rFonts w:hint="eastAsia"/>
        </w:rPr>
        <w:t>并解释。</w:t>
      </w:r>
      <w:bookmarkEnd w:id="31"/>
    </w:p>
    <w:p w14:paraId="7BE25553">
      <w:pPr>
        <w:pStyle w:val="57"/>
        <w:ind w:firstLine="420"/>
      </w:pPr>
      <w:r>
        <w:rPr>
          <w:rFonts w:hint="eastAsia"/>
        </w:rPr>
        <w:t>本文件起草单位：成都中医药大学、四川天植中药股份有限公司、泸州天植农业科技有限公司。</w:t>
      </w:r>
    </w:p>
    <w:p w14:paraId="34F05926">
      <w:pPr>
        <w:pStyle w:val="57"/>
        <w:ind w:firstLine="420"/>
      </w:pPr>
      <w:r>
        <w:rPr>
          <w:rFonts w:hint="eastAsia"/>
        </w:rPr>
        <w:t>本文件主要起草人：李敏、张添植、冉淳莹、黎智、陈春林、彭小玲、叶永龙、邓红梅、蒋孟莲、杨转珍、李玲、包胜、喻涛、</w:t>
      </w:r>
      <w:r>
        <w:rPr>
          <w:rFonts w:hint="eastAsia"/>
          <w:color w:val="000000" w:themeColor="text1"/>
          <w14:textFill>
            <w14:solidFill>
              <w14:schemeClr w14:val="tx1"/>
            </w14:solidFill>
          </w14:textFill>
        </w:rPr>
        <w:t>陈亮</w:t>
      </w:r>
      <w:r>
        <w:rPr>
          <w:rFonts w:hint="eastAsia"/>
        </w:rPr>
        <w:t>。</w:t>
      </w:r>
    </w:p>
    <w:p w14:paraId="0398D45C">
      <w:pPr>
        <w:pStyle w:val="57"/>
        <w:ind w:firstLine="420"/>
      </w:pPr>
      <w:r>
        <w:rPr>
          <w:rFonts w:hint="eastAsia"/>
        </w:rPr>
        <w:t>本文件及其所代替文件的历次版本发布情况为：</w:t>
      </w:r>
    </w:p>
    <w:p w14:paraId="191780D3">
      <w:pPr>
        <w:pStyle w:val="57"/>
        <w:ind w:firstLine="420"/>
      </w:pPr>
      <w:r>
        <w:rPr>
          <w:rFonts w:hint="eastAsia"/>
        </w:rPr>
        <w:t>——本次为首次发布。</w:t>
      </w:r>
    </w:p>
    <w:p w14:paraId="35B5E95B">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30"/>
    <w:p w14:paraId="1EC62592">
      <w:pPr>
        <w:pStyle w:val="90"/>
        <w:spacing w:after="468"/>
      </w:pPr>
      <w:bookmarkStart w:id="32" w:name="_Toc161950094"/>
      <w:bookmarkStart w:id="33" w:name="_Toc161931868"/>
      <w:bookmarkStart w:id="34" w:name="_Toc161960341"/>
      <w:bookmarkStart w:id="35" w:name="_Toc161842500"/>
      <w:bookmarkStart w:id="36" w:name="_Toc162086081"/>
      <w:bookmarkStart w:id="37" w:name="_Toc162968065"/>
      <w:bookmarkStart w:id="38" w:name="_Toc212575528"/>
      <w:bookmarkStart w:id="39" w:name="_Toc163403675"/>
      <w:bookmarkStart w:id="40" w:name="_Toc212578233"/>
      <w:bookmarkStart w:id="41" w:name="_Toc212575303"/>
      <w:bookmarkStart w:id="42" w:name="_Toc157793799"/>
      <w:bookmarkStart w:id="43" w:name="BookMark3"/>
      <w:r>
        <w:rPr>
          <w:spacing w:val="320"/>
        </w:rPr>
        <w:t>引</w:t>
      </w:r>
      <w:r>
        <w:t>言</w:t>
      </w:r>
      <w:bookmarkEnd w:id="32"/>
      <w:bookmarkEnd w:id="33"/>
      <w:bookmarkEnd w:id="34"/>
      <w:bookmarkEnd w:id="35"/>
      <w:bookmarkEnd w:id="36"/>
      <w:bookmarkEnd w:id="37"/>
      <w:bookmarkEnd w:id="38"/>
      <w:bookmarkEnd w:id="39"/>
      <w:bookmarkEnd w:id="40"/>
      <w:bookmarkEnd w:id="41"/>
      <w:bookmarkEnd w:id="42"/>
    </w:p>
    <w:p w14:paraId="329C1FE4">
      <w:pPr>
        <w:pStyle w:val="57"/>
        <w:ind w:firstLine="420"/>
      </w:pPr>
      <w:bookmarkStart w:id="44" w:name="_Hlk161946426"/>
      <w:r>
        <w:rPr>
          <w:rFonts w:hint="eastAsia"/>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2A803D1B">
      <w:pPr>
        <w:pStyle w:val="57"/>
        <w:ind w:firstLine="420"/>
      </w:pPr>
      <w:r>
        <w:rPr>
          <w:rFonts w:hint="eastAsia"/>
        </w:rPr>
        <w:t>目前泸州市已形成连片集约的枳壳种植产业，产业优势明显。为了进一步提升枳壳（酸橙）中药材质量，规范企业生产行为，提高生产效益，在泸州市市场监督管理局、泸县农业农村局的支持下，我公司联合成都中医药大学、</w:t>
      </w:r>
      <w:r>
        <w:rPr>
          <w:rFonts w:hint="eastAsia"/>
          <w:color w:val="000000" w:themeColor="text1"/>
          <w14:textFill>
            <w14:solidFill>
              <w14:schemeClr w14:val="tx1"/>
            </w14:solidFill>
          </w14:textFill>
        </w:rPr>
        <w:t>泸州天植农业科技有限公司</w:t>
      </w:r>
      <w:r>
        <w:rPr>
          <w:rFonts w:hint="eastAsia"/>
        </w:rPr>
        <w:t>积极贯彻“三五二”文件精神，在泸州市泸县开展枳壳全产业链生产技术规范及质量标准提升研究，共同起草制定了以下10个文件，用以指导枳壳生产。</w:t>
      </w:r>
    </w:p>
    <w:p w14:paraId="14B4EF08">
      <w:pPr>
        <w:pStyle w:val="57"/>
        <w:ind w:firstLine="420"/>
      </w:pPr>
      <w:r>
        <w:rPr>
          <w:rFonts w:hint="eastAsia"/>
        </w:rPr>
        <w:t xml:space="preserve">——1.川产道地药材“三五二”工程 </w:t>
      </w:r>
      <w:r>
        <w:rPr>
          <w:rFonts w:hint="eastAsia"/>
          <w:lang w:eastAsia="zh-CN"/>
        </w:rPr>
        <w:t>种苗</w:t>
      </w:r>
      <w:r>
        <w:rPr>
          <w:rFonts w:hint="eastAsia"/>
        </w:rPr>
        <w:t>标准 枳壳</w:t>
      </w:r>
    </w:p>
    <w:p w14:paraId="7C42BE8C">
      <w:pPr>
        <w:pStyle w:val="57"/>
        <w:ind w:firstLine="420"/>
      </w:pPr>
      <w:r>
        <w:rPr>
          <w:rFonts w:hint="eastAsia"/>
        </w:rPr>
        <w:t>——2.川产道地药材“三五二”工程 种苗繁育技术规范 枳壳</w:t>
      </w:r>
    </w:p>
    <w:p w14:paraId="27950D5A">
      <w:pPr>
        <w:pStyle w:val="57"/>
        <w:ind w:firstLine="420"/>
      </w:pPr>
      <w:r>
        <w:rPr>
          <w:rFonts w:hint="eastAsia"/>
        </w:rPr>
        <w:t>——3.川产道地药材“三五二”工程 种植技术规范 枳壳</w:t>
      </w:r>
    </w:p>
    <w:p w14:paraId="1C2DFF5A">
      <w:pPr>
        <w:pStyle w:val="57"/>
        <w:ind w:firstLine="420"/>
      </w:pPr>
      <w:r>
        <w:rPr>
          <w:rFonts w:hint="eastAsia"/>
        </w:rPr>
        <w:t>——4.川产道地药材“三五二”工程 采收及产地初加工技术规范 枳壳</w:t>
      </w:r>
    </w:p>
    <w:p w14:paraId="2BA9E861">
      <w:pPr>
        <w:pStyle w:val="57"/>
        <w:ind w:firstLine="420"/>
      </w:pPr>
      <w:r>
        <w:rPr>
          <w:rFonts w:hint="eastAsia"/>
        </w:rPr>
        <w:t>——5.川产道地药材“三五二”工程 产地趁鲜加工与炮制一体化技术规范 枳壳</w:t>
      </w:r>
    </w:p>
    <w:p w14:paraId="30448C0F">
      <w:pPr>
        <w:pStyle w:val="57"/>
        <w:ind w:firstLine="420"/>
      </w:pPr>
      <w:r>
        <w:rPr>
          <w:rFonts w:hint="eastAsia"/>
        </w:rPr>
        <w:t>——6.川产道地药材“三五二”工程 药材及饮片质量标准 枳壳</w:t>
      </w:r>
    </w:p>
    <w:p w14:paraId="50BDE57A">
      <w:pPr>
        <w:pStyle w:val="57"/>
        <w:ind w:firstLine="420"/>
      </w:pPr>
      <w:r>
        <w:rPr>
          <w:rFonts w:hint="eastAsia"/>
        </w:rPr>
        <w:t>——7.川产道地药材“三五二”工程 商品规格等级标准 枳壳</w:t>
      </w:r>
    </w:p>
    <w:p w14:paraId="201964D8">
      <w:pPr>
        <w:pStyle w:val="57"/>
        <w:ind w:firstLine="420"/>
      </w:pPr>
      <w:r>
        <w:rPr>
          <w:rFonts w:hint="eastAsia"/>
        </w:rPr>
        <w:t>——8.川产道地药材“三五二”工程 包装贮藏运输技术规范 枳壳</w:t>
      </w:r>
    </w:p>
    <w:p w14:paraId="093E7F0D">
      <w:pPr>
        <w:pStyle w:val="57"/>
        <w:ind w:firstLine="420"/>
      </w:pPr>
      <w:r>
        <w:rPr>
          <w:rFonts w:hint="eastAsia"/>
        </w:rPr>
        <w:t>——9.川产道地药材“三五二”工程 质量追溯体系要求 枳壳</w:t>
      </w:r>
      <w:bookmarkEnd w:id="44"/>
    </w:p>
    <w:p w14:paraId="3D9CBB43">
      <w:pPr>
        <w:pStyle w:val="57"/>
        <w:ind w:firstLine="420"/>
      </w:pPr>
      <w:r>
        <w:rPr>
          <w:rFonts w:hint="eastAsia"/>
        </w:rPr>
        <w:t>——10.川产道地药材“三五二”工程 川产道地药材备案申请表 枳壳</w:t>
      </w:r>
    </w:p>
    <w:p w14:paraId="40C8D341">
      <w:pPr>
        <w:pStyle w:val="57"/>
        <w:ind w:firstLine="420"/>
      </w:pPr>
      <w:r>
        <w:rPr>
          <w:rFonts w:hint="eastAsia"/>
        </w:rPr>
        <w:t>《川产道地药材“三五二”工程 质量追溯体系要求 枳壳》（Q/STZ 0002）对枳壳生产全过程进行追溯，建立了以“全程追溯、全面追溯、统一追溯、持续追溯”为原则的全产业链追溯体系。</w:t>
      </w:r>
    </w:p>
    <w:p w14:paraId="735D3D40">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43"/>
    <w:p w14:paraId="5B03BBE1">
      <w:pPr>
        <w:spacing w:line="20" w:lineRule="exact"/>
        <w:jc w:val="center"/>
        <w:rPr>
          <w:rFonts w:hint="eastAsia" w:ascii="黑体" w:hAnsi="黑体" w:eastAsia="黑体"/>
          <w:sz w:val="32"/>
          <w:szCs w:val="32"/>
        </w:rPr>
      </w:pPr>
      <w:bookmarkStart w:id="45" w:name="BookMark4"/>
    </w:p>
    <w:p w14:paraId="394B9BDA">
      <w:pPr>
        <w:spacing w:line="20" w:lineRule="exact"/>
        <w:jc w:val="center"/>
        <w:rPr>
          <w:rFonts w:hint="eastAsia" w:ascii="黑体" w:hAnsi="黑体" w:eastAsia="黑体"/>
          <w:sz w:val="32"/>
          <w:szCs w:val="32"/>
        </w:rPr>
      </w:pPr>
    </w:p>
    <w:sdt>
      <w:sdtPr>
        <w:tag w:val="NEW_STAND_NAME"/>
        <w:id w:val="595910757"/>
        <w:lock w:val="sdtLocked"/>
        <w:placeholder>
          <w:docPart w:val="09469776C89448A2B43122E6DC271097"/>
        </w:placeholder>
      </w:sdtPr>
      <w:sdtContent>
        <w:p w14:paraId="24A6D05D">
          <w:pPr>
            <w:pStyle w:val="178"/>
            <w:spacing w:before="3" w:beforeLines="1" w:after="3" w:afterLines="1"/>
            <w:rPr>
              <w:rFonts w:hint="eastAsia"/>
            </w:rPr>
          </w:pPr>
          <w:bookmarkStart w:id="46" w:name="NEW_STAND_NAME"/>
          <w:r>
            <w:rPr>
              <w:rFonts w:hint="eastAsia"/>
            </w:rPr>
            <w:t>川产道地药材"三五二"工程</w:t>
          </w:r>
        </w:p>
        <w:p w14:paraId="2E945548">
          <w:pPr>
            <w:pStyle w:val="178"/>
            <w:spacing w:before="3" w:beforeLines="1" w:after="3" w:afterLines="1"/>
            <w:rPr>
              <w:rFonts w:hint="eastAsia"/>
            </w:rPr>
          </w:pPr>
          <w:r>
            <w:rPr>
              <w:rFonts w:hint="eastAsia"/>
            </w:rPr>
            <w:t>质量追溯体系要求</w:t>
          </w:r>
        </w:p>
        <w:p w14:paraId="0B98684D">
          <w:pPr>
            <w:pStyle w:val="178"/>
            <w:spacing w:before="3" w:beforeLines="1" w:after="680"/>
            <w:rPr>
              <w:rFonts w:hint="eastAsia"/>
            </w:rPr>
          </w:pPr>
          <w:r>
            <w:rPr>
              <w:rFonts w:hint="eastAsia"/>
            </w:rPr>
            <w:t>枳壳</w:t>
          </w:r>
        </w:p>
      </w:sdtContent>
    </w:sdt>
    <w:bookmarkEnd w:id="46"/>
    <w:p w14:paraId="70E60DD6">
      <w:pPr>
        <w:pStyle w:val="105"/>
        <w:spacing w:before="312" w:after="312"/>
      </w:pPr>
      <w:bookmarkStart w:id="47" w:name="_Toc26986771"/>
      <w:bookmarkStart w:id="48" w:name="_Toc212575304"/>
      <w:bookmarkStart w:id="49" w:name="_Toc157793800"/>
      <w:bookmarkStart w:id="50" w:name="_Toc98918883"/>
      <w:bookmarkStart w:id="51" w:name="_Toc24884211"/>
      <w:bookmarkStart w:id="52" w:name="_Toc212575529"/>
      <w:bookmarkStart w:id="53" w:name="_Toc26718930"/>
      <w:bookmarkStart w:id="54" w:name="_Toc162086082"/>
      <w:bookmarkStart w:id="55" w:name="_Toc163403676"/>
      <w:bookmarkStart w:id="56" w:name="_Toc26986530"/>
      <w:bookmarkStart w:id="57" w:name="_Toc161960342"/>
      <w:bookmarkStart w:id="58" w:name="_Toc24884218"/>
      <w:bookmarkStart w:id="59" w:name="_Toc161950095"/>
      <w:bookmarkStart w:id="60" w:name="_Toc17233333"/>
      <w:bookmarkStart w:id="61" w:name="_Toc162968066"/>
      <w:bookmarkStart w:id="62" w:name="_Toc161931869"/>
      <w:bookmarkStart w:id="63" w:name="_Toc17233325"/>
      <w:bookmarkStart w:id="64" w:name="_Toc212578234"/>
      <w:bookmarkStart w:id="65" w:name="_Toc161842501"/>
      <w:bookmarkStart w:id="66" w:name="_Toc26648465"/>
      <w:r>
        <w:rPr>
          <w:rFonts w:hint="eastAsia"/>
        </w:rPr>
        <w:t>范围</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44ADCFF7">
      <w:pPr>
        <w:pStyle w:val="57"/>
        <w:ind w:firstLine="420"/>
      </w:pPr>
      <w:bookmarkStart w:id="67" w:name="_Toc26648466"/>
      <w:bookmarkStart w:id="68" w:name="_Toc24884212"/>
      <w:bookmarkStart w:id="69" w:name="_Toc17233326"/>
      <w:bookmarkStart w:id="70" w:name="_Toc24884219"/>
      <w:bookmarkStart w:id="71" w:name="_Toc17233334"/>
      <w:r>
        <w:rPr>
          <w:rFonts w:hint="eastAsia"/>
        </w:rPr>
        <w:t>本文件规定了枳壳质量追溯体系的术语和定义、追溯对象、追溯原则、基本要求、追溯信息采集内容及追溯信息管理。</w:t>
      </w:r>
    </w:p>
    <w:p w14:paraId="5B100F12">
      <w:pPr>
        <w:pStyle w:val="57"/>
        <w:ind w:firstLine="420"/>
      </w:pPr>
      <w:r>
        <w:rPr>
          <w:rFonts w:hint="eastAsia"/>
        </w:rPr>
        <w:t>本文件适用于四川天植中药股份有限公司枳壳质量追溯体系建设。</w:t>
      </w:r>
    </w:p>
    <w:p w14:paraId="121F054D">
      <w:pPr>
        <w:pStyle w:val="105"/>
        <w:spacing w:before="312" w:after="312"/>
      </w:pPr>
      <w:bookmarkStart w:id="72" w:name="_Toc162968067"/>
      <w:bookmarkStart w:id="73" w:name="_Toc212575530"/>
      <w:bookmarkStart w:id="74" w:name="_Toc161950096"/>
      <w:bookmarkStart w:id="75" w:name="_Toc161842502"/>
      <w:bookmarkStart w:id="76" w:name="_Toc212575305"/>
      <w:bookmarkStart w:id="77" w:name="_Toc26986772"/>
      <w:bookmarkStart w:id="78" w:name="_Toc157793801"/>
      <w:bookmarkStart w:id="79" w:name="_Toc163403677"/>
      <w:bookmarkStart w:id="80" w:name="_Toc161960343"/>
      <w:bookmarkStart w:id="81" w:name="_Toc162086083"/>
      <w:bookmarkStart w:id="82" w:name="_Toc26986531"/>
      <w:bookmarkStart w:id="83" w:name="_Toc212578235"/>
      <w:bookmarkStart w:id="84" w:name="_Toc98918884"/>
      <w:bookmarkStart w:id="85" w:name="_Toc26718931"/>
      <w:bookmarkStart w:id="86" w:name="_Toc161931870"/>
      <w:r>
        <w:rPr>
          <w:rFonts w:hint="eastAsia"/>
        </w:rPr>
        <w:t>规范性引用文件</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sdt>
      <w:sdtPr>
        <w:rPr>
          <w:rFonts w:hint="eastAsia"/>
        </w:rPr>
        <w:id w:val="715848253"/>
        <w:placeholder>
          <w:docPart w:val="D75C04156C194F97B64494BFB2C2418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B1B13B1">
          <w:pPr>
            <w:pStyle w:val="57"/>
            <w:ind w:firstLine="420"/>
          </w:pPr>
          <w:r>
            <w:rPr>
              <w:rFonts w:hint="eastAsia"/>
            </w:rPr>
            <w:t>本文件没有规范性引用文件。</w:t>
          </w:r>
        </w:p>
      </w:sdtContent>
    </w:sdt>
    <w:p w14:paraId="74164390">
      <w:pPr>
        <w:pStyle w:val="105"/>
        <w:spacing w:before="312" w:after="312"/>
      </w:pPr>
      <w:bookmarkStart w:id="87" w:name="_Toc161960344"/>
      <w:bookmarkStart w:id="88" w:name="_Toc98918885"/>
      <w:bookmarkStart w:id="89" w:name="_Toc163403678"/>
      <w:bookmarkStart w:id="90" w:name="_Toc212575306"/>
      <w:bookmarkStart w:id="91" w:name="_Toc157793802"/>
      <w:bookmarkStart w:id="92" w:name="_Toc212575531"/>
      <w:bookmarkStart w:id="93" w:name="_Toc212578236"/>
      <w:bookmarkStart w:id="94" w:name="_Toc161931871"/>
      <w:bookmarkStart w:id="95" w:name="_Toc162086084"/>
      <w:bookmarkStart w:id="96" w:name="_Toc161950097"/>
      <w:bookmarkStart w:id="97" w:name="_Toc161842503"/>
      <w:bookmarkStart w:id="98" w:name="_Toc162968068"/>
      <w:r>
        <w:rPr>
          <w:rFonts w:hint="eastAsia"/>
          <w:szCs w:val="21"/>
        </w:rPr>
        <w:t>术语和定义</w:t>
      </w:r>
      <w:bookmarkEnd w:id="87"/>
      <w:bookmarkEnd w:id="88"/>
      <w:bookmarkEnd w:id="89"/>
      <w:bookmarkEnd w:id="90"/>
      <w:bookmarkEnd w:id="91"/>
      <w:bookmarkEnd w:id="92"/>
      <w:bookmarkEnd w:id="93"/>
      <w:bookmarkEnd w:id="94"/>
      <w:bookmarkEnd w:id="95"/>
      <w:bookmarkEnd w:id="96"/>
      <w:bookmarkEnd w:id="97"/>
      <w:bookmarkEnd w:id="98"/>
    </w:p>
    <w:sdt>
      <w:sdtPr>
        <w:id w:val="-1909835108"/>
        <w:placeholder>
          <w:docPart w:val="FE96F9369CFE4646A9E50AA5A706A4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52AD4AA">
          <w:pPr>
            <w:pStyle w:val="57"/>
            <w:ind w:firstLine="420"/>
          </w:pPr>
          <w:bookmarkStart w:id="99" w:name="_Toc26986532"/>
          <w:bookmarkEnd w:id="99"/>
          <w:r>
            <w:t>下列术语和定义适用于本文件。</w:t>
          </w:r>
        </w:p>
      </w:sdtContent>
    </w:sdt>
    <w:p w14:paraId="272D4039">
      <w:pPr>
        <w:pStyle w:val="224"/>
        <w:ind w:left="420" w:hanging="420" w:hangingChars="200"/>
      </w:pPr>
      <w:r>
        <w:rPr>
          <w:rFonts w:ascii="黑体" w:hAnsi="黑体" w:eastAsia="黑体"/>
        </w:rPr>
        <w:br w:type="textWrapping"/>
      </w:r>
      <w:r>
        <w:rPr>
          <w:rFonts w:hint="eastAsia" w:ascii="黑体" w:hAnsi="黑体" w:eastAsia="黑体"/>
        </w:rPr>
        <w:t>枳壳  Aurantii Fructus</w:t>
      </w:r>
      <w:r>
        <w:rPr>
          <w:rFonts w:hint="eastAsia" w:ascii="黑体" w:hAnsi="黑体" w:eastAsia="黑体"/>
        </w:rPr>
        <w:cr/>
      </w:r>
      <w:r>
        <w:rPr>
          <w:rFonts w:hint="eastAsia"/>
        </w:rPr>
        <w:t>芸香科植物酸橙</w:t>
      </w:r>
      <w:r>
        <w:rPr>
          <w:rFonts w:hint="eastAsia"/>
          <w:i/>
          <w:iCs/>
        </w:rPr>
        <w:t>Citrus aurantium</w:t>
      </w:r>
      <w:r>
        <w:rPr>
          <w:rFonts w:hint="eastAsia"/>
        </w:rPr>
        <w:t xml:space="preserve"> L.的干燥未成熟果实。</w:t>
      </w:r>
    </w:p>
    <w:p w14:paraId="0E05829B">
      <w:pPr>
        <w:pStyle w:val="224"/>
        <w:ind w:left="420" w:hanging="420" w:hangingChars="200"/>
        <w:rPr>
          <w:rFonts w:hint="eastAsia" w:ascii="黑体" w:hAnsi="黑体" w:eastAsia="黑体"/>
        </w:rPr>
      </w:pPr>
    </w:p>
    <w:p w14:paraId="04703B1F">
      <w:pPr>
        <w:pStyle w:val="224"/>
        <w:numPr>
          <w:ilvl w:val="0"/>
          <w:numId w:val="0"/>
        </w:numPr>
        <w:ind w:left="420"/>
        <w:rPr>
          <w:rFonts w:hint="eastAsia" w:ascii="黑体" w:hAnsi="黑体" w:eastAsia="黑体"/>
        </w:rPr>
      </w:pPr>
      <w:r>
        <w:rPr>
          <w:rFonts w:hint="eastAsia" w:ascii="黑体" w:hAnsi="黑体" w:eastAsia="黑体"/>
        </w:rPr>
        <w:t xml:space="preserve">追溯单元  </w:t>
      </w:r>
      <w:r>
        <w:rPr>
          <w:rFonts w:ascii="黑体" w:hAnsi="黑体" w:eastAsia="黑体"/>
        </w:rPr>
        <w:t>Traceability unit</w:t>
      </w:r>
    </w:p>
    <w:p w14:paraId="6098BA53">
      <w:pPr>
        <w:pStyle w:val="57"/>
        <w:ind w:firstLine="420"/>
      </w:pPr>
      <w:r>
        <w:rPr>
          <w:rFonts w:hint="eastAsia"/>
        </w:rPr>
        <w:t>需要对其历史、应用情况或所处位置的相关信息进行记录、标识并可追溯的单个产品、同一批次产</w:t>
      </w:r>
    </w:p>
    <w:p w14:paraId="5E30E67B">
      <w:pPr>
        <w:pStyle w:val="57"/>
        <w:ind w:firstLine="199" w:firstLineChars="95"/>
      </w:pPr>
      <w:r>
        <w:rPr>
          <w:rFonts w:hint="eastAsia"/>
        </w:rPr>
        <w:t>品或同一品类产品。</w:t>
      </w:r>
    </w:p>
    <w:p w14:paraId="1506DED8">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追溯体系 </w:t>
      </w:r>
      <w:r>
        <w:rPr>
          <w:rFonts w:ascii="黑体" w:hAnsi="黑体" w:eastAsia="黑体"/>
        </w:rPr>
        <w:t xml:space="preserve"> T</w:t>
      </w:r>
      <w:r>
        <w:rPr>
          <w:rFonts w:hint="eastAsia" w:ascii="黑体" w:hAnsi="黑体" w:eastAsia="黑体"/>
        </w:rPr>
        <w:t>r</w:t>
      </w:r>
      <w:r>
        <w:rPr>
          <w:rFonts w:ascii="黑体" w:hAnsi="黑体" w:eastAsia="黑体"/>
        </w:rPr>
        <w:t>aceability syste</w:t>
      </w:r>
      <w:r>
        <w:rPr>
          <w:rFonts w:hint="eastAsia" w:ascii="黑体" w:hAnsi="黑体" w:eastAsia="黑体"/>
        </w:rPr>
        <w:t>m</w:t>
      </w:r>
    </w:p>
    <w:p w14:paraId="439FB5FF">
      <w:pPr>
        <w:pStyle w:val="57"/>
        <w:ind w:firstLine="420"/>
      </w:pPr>
      <w:r>
        <w:rPr>
          <w:rFonts w:hint="eastAsia"/>
        </w:rPr>
        <w:t>基于追溯码、文件记录、相关软硬件设备和通信网络，实现现代信息化管理并可获取产品追溯过程中相关数据的集成。</w:t>
      </w:r>
    </w:p>
    <w:p w14:paraId="6115D3F2">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追溯参与方  </w:t>
      </w:r>
      <w:r>
        <w:rPr>
          <w:rFonts w:ascii="黑体" w:hAnsi="黑体" w:eastAsia="黑体"/>
        </w:rPr>
        <w:t>T</w:t>
      </w:r>
      <w:r>
        <w:rPr>
          <w:rFonts w:hint="eastAsia" w:ascii="黑体" w:hAnsi="黑体" w:eastAsia="黑体"/>
        </w:rPr>
        <w:t>r</w:t>
      </w:r>
      <w:r>
        <w:rPr>
          <w:rFonts w:ascii="黑体" w:hAnsi="黑体" w:eastAsia="黑体"/>
        </w:rPr>
        <w:t xml:space="preserve">aceability </w:t>
      </w:r>
      <w:r>
        <w:rPr>
          <w:rFonts w:hint="eastAsia" w:ascii="黑体" w:hAnsi="黑体" w:eastAsia="黑体"/>
        </w:rPr>
        <w:t>participant</w:t>
      </w:r>
    </w:p>
    <w:p w14:paraId="1D70E2BA">
      <w:pPr>
        <w:pStyle w:val="57"/>
        <w:ind w:firstLine="420"/>
      </w:pPr>
      <w:r>
        <w:rPr>
          <w:rFonts w:hint="eastAsia"/>
        </w:rPr>
        <w:t>在供应链中从事产品初级生产、生产加工、包装、仓储、运输、配送、销售、消费(使用)等相关</w:t>
      </w:r>
    </w:p>
    <w:p w14:paraId="0EB6BE0F">
      <w:pPr>
        <w:pStyle w:val="57"/>
        <w:ind w:firstLine="199" w:firstLineChars="95"/>
      </w:pPr>
      <w:r>
        <w:rPr>
          <w:rFonts w:hint="eastAsia"/>
        </w:rPr>
        <w:t>业务的组织或个人。</w:t>
      </w:r>
    </w:p>
    <w:p w14:paraId="13A5F9AD">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追溯标识  </w:t>
      </w:r>
      <w:r>
        <w:rPr>
          <w:rFonts w:ascii="黑体" w:hAnsi="黑体" w:eastAsia="黑体"/>
        </w:rPr>
        <w:t>T</w:t>
      </w:r>
      <w:r>
        <w:rPr>
          <w:rFonts w:hint="eastAsia" w:ascii="黑体" w:hAnsi="黑体" w:eastAsia="黑体"/>
        </w:rPr>
        <w:t>r</w:t>
      </w:r>
      <w:r>
        <w:rPr>
          <w:rFonts w:ascii="黑体" w:hAnsi="黑体" w:eastAsia="黑体"/>
        </w:rPr>
        <w:t xml:space="preserve">aceability </w:t>
      </w:r>
      <w:r>
        <w:rPr>
          <w:rFonts w:hint="eastAsia" w:ascii="黑体" w:hAnsi="黑体" w:eastAsia="黑体"/>
        </w:rPr>
        <w:t>code</w:t>
      </w:r>
    </w:p>
    <w:p w14:paraId="61682C79">
      <w:pPr>
        <w:pStyle w:val="57"/>
        <w:ind w:firstLine="420"/>
      </w:pPr>
      <w:r>
        <w:rPr>
          <w:rFonts w:hint="eastAsia"/>
        </w:rPr>
        <w:t>用于标识追溯单元的唯一性符号或代码。</w:t>
      </w:r>
    </w:p>
    <w:p w14:paraId="747F1ADC">
      <w:pPr>
        <w:pStyle w:val="105"/>
        <w:spacing w:before="312" w:after="312"/>
      </w:pPr>
      <w:bookmarkStart w:id="100" w:name="_Toc163403680"/>
      <w:bookmarkStart w:id="101" w:name="_Toc212578237"/>
      <w:bookmarkStart w:id="102" w:name="_Toc161842505"/>
      <w:bookmarkStart w:id="103" w:name="_Toc161950099"/>
      <w:bookmarkStart w:id="104" w:name="_Toc157793804"/>
      <w:bookmarkStart w:id="105" w:name="_Toc162968070"/>
      <w:bookmarkStart w:id="106" w:name="_Toc212575307"/>
      <w:bookmarkStart w:id="107" w:name="_Toc212575532"/>
      <w:bookmarkStart w:id="108" w:name="_Toc162086086"/>
      <w:bookmarkStart w:id="109" w:name="_Toc161931873"/>
      <w:bookmarkStart w:id="110" w:name="_Toc161960346"/>
      <w:r>
        <w:rPr>
          <w:rFonts w:hint="eastAsia"/>
        </w:rPr>
        <w:t>追溯原则</w:t>
      </w:r>
      <w:bookmarkEnd w:id="100"/>
      <w:bookmarkEnd w:id="101"/>
      <w:bookmarkEnd w:id="102"/>
      <w:bookmarkEnd w:id="103"/>
      <w:bookmarkEnd w:id="104"/>
      <w:bookmarkEnd w:id="105"/>
      <w:bookmarkEnd w:id="106"/>
      <w:bookmarkEnd w:id="107"/>
      <w:bookmarkEnd w:id="108"/>
      <w:bookmarkEnd w:id="109"/>
      <w:bookmarkEnd w:id="110"/>
    </w:p>
    <w:p w14:paraId="4B366242">
      <w:pPr>
        <w:pStyle w:val="106"/>
        <w:spacing w:before="156" w:after="156"/>
      </w:pPr>
      <w:r>
        <w:rPr>
          <w:rFonts w:hint="eastAsia"/>
        </w:rPr>
        <w:t>真实性</w:t>
      </w:r>
    </w:p>
    <w:p w14:paraId="00644D08">
      <w:pPr>
        <w:pStyle w:val="57"/>
        <w:ind w:firstLine="420"/>
      </w:pPr>
      <w:bookmarkStart w:id="111" w:name="_Hlk155966007"/>
      <w:r>
        <w:rPr>
          <w:rFonts w:hint="eastAsia"/>
        </w:rPr>
        <w:t>追溯参与方在实施枳壳追溯时，应遵守信息真实性、完整性原则。</w:t>
      </w:r>
    </w:p>
    <w:bookmarkEnd w:id="111"/>
    <w:p w14:paraId="22EBD139">
      <w:pPr>
        <w:pStyle w:val="106"/>
        <w:spacing w:before="156" w:after="156"/>
      </w:pPr>
      <w:r>
        <w:rPr>
          <w:rFonts w:hint="eastAsia"/>
        </w:rPr>
        <w:t>兼容性</w:t>
      </w:r>
    </w:p>
    <w:p w14:paraId="4BC63CB8">
      <w:pPr>
        <w:pStyle w:val="57"/>
        <w:ind w:firstLine="420"/>
      </w:pPr>
      <w:bookmarkStart w:id="112" w:name="_Hlk155966051"/>
      <w:r>
        <w:rPr>
          <w:rFonts w:hint="eastAsia"/>
        </w:rPr>
        <w:t>在建立和实施枳壳的质量追溯体系时，应覆盖枳壳生产过程的全过程。</w:t>
      </w:r>
    </w:p>
    <w:bookmarkEnd w:id="112"/>
    <w:p w14:paraId="0F142BE0">
      <w:pPr>
        <w:pStyle w:val="106"/>
        <w:spacing w:before="156" w:after="156"/>
      </w:pPr>
      <w:r>
        <w:rPr>
          <w:rFonts w:hint="eastAsia"/>
        </w:rPr>
        <w:t>唯一性</w:t>
      </w:r>
    </w:p>
    <w:p w14:paraId="13E3D95D">
      <w:pPr>
        <w:pStyle w:val="57"/>
        <w:ind w:firstLine="420"/>
      </w:pPr>
      <w:bookmarkStart w:id="113" w:name="_Hlk155966057"/>
      <w:r>
        <w:rPr>
          <w:rFonts w:hint="eastAsia"/>
        </w:rPr>
        <w:t>枳壳质量</w:t>
      </w:r>
      <w:r>
        <w:rPr>
          <w:rFonts w:hint="eastAsia"/>
          <w:lang w:val="en-US" w:eastAsia="zh-CN"/>
        </w:rPr>
        <w:t>追溯</w:t>
      </w:r>
      <w:r>
        <w:rPr>
          <w:rFonts w:hint="eastAsia"/>
        </w:rPr>
        <w:t>体系中各级追溯单元的基本信息进行唯一编码和标识。</w:t>
      </w:r>
    </w:p>
    <w:bookmarkEnd w:id="113"/>
    <w:p w14:paraId="271685FA">
      <w:pPr>
        <w:pStyle w:val="105"/>
        <w:spacing w:before="312" w:after="312"/>
      </w:pPr>
      <w:bookmarkStart w:id="114" w:name="_Toc162086087"/>
      <w:bookmarkStart w:id="115" w:name="_Toc161931874"/>
      <w:bookmarkStart w:id="116" w:name="_Toc161842506"/>
      <w:bookmarkStart w:id="117" w:name="_Toc212578238"/>
      <w:bookmarkStart w:id="118" w:name="_Toc161950100"/>
      <w:bookmarkStart w:id="119" w:name="_Toc163403681"/>
      <w:bookmarkStart w:id="120" w:name="_Toc212575308"/>
      <w:bookmarkStart w:id="121" w:name="_Toc162968071"/>
      <w:bookmarkStart w:id="122" w:name="_Toc161960347"/>
      <w:bookmarkStart w:id="123" w:name="_Toc212575533"/>
      <w:bookmarkStart w:id="124" w:name="_Toc157793805"/>
      <w:r>
        <w:rPr>
          <w:rFonts w:hint="eastAsia"/>
        </w:rPr>
        <w:t>基本要求</w:t>
      </w:r>
      <w:bookmarkEnd w:id="114"/>
      <w:bookmarkEnd w:id="115"/>
      <w:bookmarkEnd w:id="116"/>
      <w:bookmarkEnd w:id="117"/>
      <w:bookmarkEnd w:id="118"/>
      <w:bookmarkEnd w:id="119"/>
      <w:bookmarkEnd w:id="120"/>
      <w:bookmarkEnd w:id="121"/>
      <w:bookmarkEnd w:id="122"/>
      <w:bookmarkEnd w:id="123"/>
      <w:bookmarkEnd w:id="124"/>
    </w:p>
    <w:p w14:paraId="261E7C59">
      <w:pPr>
        <w:pStyle w:val="106"/>
        <w:spacing w:before="156" w:after="156"/>
      </w:pPr>
      <w:bookmarkStart w:id="125" w:name="_Toc6695"/>
      <w:bookmarkStart w:id="126" w:name="_Toc17012"/>
      <w:bookmarkStart w:id="127" w:name="_Toc6732"/>
      <w:bookmarkStart w:id="128" w:name="_Toc9458"/>
      <w:bookmarkStart w:id="129" w:name="_Toc3912"/>
      <w:bookmarkStart w:id="130" w:name="_Toc2291"/>
      <w:bookmarkStart w:id="131" w:name="_Hlk212580176"/>
      <w:r>
        <w:rPr>
          <w:rFonts w:hint="eastAsia"/>
        </w:rPr>
        <w:t>建设要求</w:t>
      </w:r>
      <w:bookmarkEnd w:id="125"/>
      <w:bookmarkEnd w:id="126"/>
      <w:bookmarkEnd w:id="127"/>
    </w:p>
    <w:p w14:paraId="7A952278">
      <w:pPr>
        <w:pStyle w:val="66"/>
        <w:spacing w:before="156" w:after="156"/>
      </w:pPr>
      <w:bookmarkStart w:id="132" w:name="_Toc30978"/>
      <w:bookmarkStart w:id="133" w:name="_Toc30369"/>
      <w:r>
        <w:rPr>
          <w:rFonts w:hint="eastAsia"/>
        </w:rPr>
        <w:t>追溯数据集成</w:t>
      </w:r>
      <w:bookmarkEnd w:id="132"/>
      <w:bookmarkEnd w:id="133"/>
    </w:p>
    <w:p w14:paraId="46584204">
      <w:pPr>
        <w:pStyle w:val="57"/>
        <w:ind w:firstLine="420"/>
      </w:pPr>
      <w:r>
        <w:rPr>
          <w:rFonts w:hint="eastAsia"/>
        </w:rPr>
        <w:t>遵照药品追溯数据消费者查询相关标准的规定，对枳壳药材及饮片生产过程所记录的所有数据信息进行集成，能够配合药品追溯协同服务平台提供和自行提供基于网页和移动终端的追溯结果展示。同时，应具备根据监管需求为监管部门提供追溯数据查询功能。</w:t>
      </w:r>
    </w:p>
    <w:p w14:paraId="42E96700">
      <w:pPr>
        <w:pStyle w:val="66"/>
        <w:spacing w:before="156" w:after="156"/>
      </w:pPr>
      <w:bookmarkStart w:id="134" w:name="_Toc2083"/>
      <w:bookmarkStart w:id="135" w:name="_Toc7327"/>
      <w:r>
        <w:rPr>
          <w:rFonts w:hint="eastAsia"/>
        </w:rPr>
        <w:t>部署环境要求</w:t>
      </w:r>
      <w:bookmarkEnd w:id="134"/>
      <w:bookmarkEnd w:id="135"/>
    </w:p>
    <w:p w14:paraId="0F2132C9">
      <w:pPr>
        <w:pStyle w:val="57"/>
        <w:ind w:firstLine="420"/>
      </w:pPr>
      <w:r>
        <w:rPr>
          <w:rFonts w:hint="eastAsia"/>
        </w:rPr>
        <w:t>应使用数据库系统，具有一定数据的存储、加工处理能力，具有配套高可用性集群解决方案，以保障追溯体系的稳定运行。</w:t>
      </w:r>
    </w:p>
    <w:p w14:paraId="07A5FCF3">
      <w:pPr>
        <w:pStyle w:val="66"/>
        <w:spacing w:before="156" w:after="156"/>
      </w:pPr>
      <w:bookmarkStart w:id="136" w:name="_Toc3918"/>
      <w:bookmarkStart w:id="137" w:name="_Toc21565"/>
      <w:r>
        <w:rPr>
          <w:rFonts w:hint="eastAsia"/>
        </w:rPr>
        <w:t>模块化集成设计</w:t>
      </w:r>
      <w:bookmarkEnd w:id="136"/>
      <w:bookmarkEnd w:id="137"/>
    </w:p>
    <w:p w14:paraId="05E5A509">
      <w:pPr>
        <w:pStyle w:val="106"/>
        <w:numPr>
          <w:ilvl w:val="0"/>
          <w:numId w:val="0"/>
        </w:numPr>
        <w:spacing w:before="156" w:after="156"/>
        <w:ind w:firstLine="420" w:firstLineChars="200"/>
        <w:rPr>
          <w:rFonts w:hint="eastAsia" w:ascii="宋体" w:hAnsi="宋体" w:eastAsia="宋体" w:cs="宋体"/>
        </w:rPr>
      </w:pPr>
      <w:bookmarkStart w:id="138" w:name="_Toc30292"/>
      <w:bookmarkStart w:id="139" w:name="_Toc7651"/>
      <w:bookmarkStart w:id="140" w:name="_Toc17006"/>
      <w:r>
        <w:rPr>
          <w:rFonts w:hint="eastAsia" w:ascii="宋体" w:hAnsi="宋体" w:eastAsia="宋体" w:cs="宋体"/>
        </w:rPr>
        <w:t>应采用模块化结构设计，将相关功能设计模块化，便于系统软硬件和网络的集成。</w:t>
      </w:r>
      <w:bookmarkEnd w:id="128"/>
      <w:bookmarkEnd w:id="129"/>
      <w:bookmarkEnd w:id="138"/>
      <w:bookmarkEnd w:id="139"/>
      <w:bookmarkEnd w:id="140"/>
      <w:bookmarkStart w:id="141" w:name="_Toc28479"/>
    </w:p>
    <w:p w14:paraId="55F90AEE">
      <w:pPr>
        <w:pStyle w:val="106"/>
        <w:spacing w:before="156" w:after="156"/>
        <w:rPr>
          <w:rFonts w:hint="eastAsia" w:hAnsi="黑体" w:cs="黑体"/>
        </w:rPr>
      </w:pPr>
      <w:r>
        <w:rPr>
          <w:rFonts w:hint="eastAsia" w:hAnsi="黑体" w:cs="黑体"/>
        </w:rPr>
        <w:t>系统安全性要求</w:t>
      </w:r>
    </w:p>
    <w:p w14:paraId="4E25434C">
      <w:pPr>
        <w:pStyle w:val="66"/>
        <w:spacing w:before="156" w:after="156"/>
        <w:rPr>
          <w:rFonts w:hint="eastAsia" w:hAnsi="黑体" w:cs="黑体"/>
          <w:szCs w:val="21"/>
        </w:rPr>
      </w:pPr>
      <w:r>
        <w:rPr>
          <w:rFonts w:hint="eastAsia" w:hAnsi="黑体" w:cs="黑体"/>
          <w:szCs w:val="21"/>
        </w:rPr>
        <w:t>程序</w:t>
      </w:r>
      <w:r>
        <w:rPr>
          <w:rFonts w:hint="eastAsia"/>
        </w:rPr>
        <w:t>软件</w:t>
      </w:r>
      <w:r>
        <w:rPr>
          <w:rFonts w:hint="eastAsia" w:hAnsi="黑体" w:cs="黑体"/>
          <w:szCs w:val="21"/>
        </w:rPr>
        <w:t>安全要求</w:t>
      </w:r>
      <w:bookmarkEnd w:id="141"/>
    </w:p>
    <w:p w14:paraId="06939799">
      <w:pPr>
        <w:pStyle w:val="106"/>
        <w:numPr>
          <w:ilvl w:val="0"/>
          <w:numId w:val="0"/>
        </w:numPr>
        <w:spacing w:before="156" w:after="156"/>
        <w:ind w:firstLine="420" w:firstLineChars="200"/>
        <w:rPr>
          <w:rFonts w:hint="eastAsia" w:ascii="宋体" w:hAnsi="宋体" w:eastAsia="宋体" w:cs="宋体"/>
          <w:szCs w:val="21"/>
        </w:rPr>
      </w:pPr>
      <w:r>
        <w:rPr>
          <w:rFonts w:hint="eastAsia" w:ascii="宋体" w:hAnsi="宋体" w:eastAsia="宋体" w:cs="宋体"/>
          <w:szCs w:val="21"/>
        </w:rPr>
        <w:t>用户安全、权限控制、抗攻击能力等</w:t>
      </w:r>
      <w:r>
        <w:rPr>
          <w:rFonts w:hint="eastAsia" w:ascii="宋体" w:hAnsi="宋体" w:eastAsia="宋体" w:cs="宋体"/>
          <w:szCs w:val="21"/>
          <w:lang w:val="en-US" w:eastAsia="zh-CN"/>
        </w:rPr>
        <w:t>需满足相关安全标准</w:t>
      </w:r>
      <w:r>
        <w:rPr>
          <w:rFonts w:hint="eastAsia" w:ascii="宋体" w:hAnsi="宋体" w:eastAsia="宋体" w:cs="宋体"/>
          <w:szCs w:val="21"/>
        </w:rPr>
        <w:t>。</w:t>
      </w:r>
      <w:bookmarkStart w:id="142" w:name="_Toc8899"/>
    </w:p>
    <w:p w14:paraId="672B8C04">
      <w:pPr>
        <w:pStyle w:val="66"/>
        <w:spacing w:before="156" w:after="156"/>
        <w:rPr>
          <w:rFonts w:hint="eastAsia" w:hAnsi="黑体" w:cs="黑体"/>
          <w:szCs w:val="21"/>
        </w:rPr>
      </w:pPr>
      <w:r>
        <w:rPr>
          <w:rFonts w:hint="eastAsia" w:hAnsi="黑体" w:cs="黑体"/>
          <w:szCs w:val="21"/>
        </w:rPr>
        <w:t>环境</w:t>
      </w:r>
      <w:r>
        <w:rPr>
          <w:rFonts w:hint="eastAsia"/>
        </w:rPr>
        <w:t>安全</w:t>
      </w:r>
      <w:r>
        <w:rPr>
          <w:rFonts w:hint="eastAsia" w:hAnsi="黑体" w:cs="黑体"/>
          <w:szCs w:val="21"/>
        </w:rPr>
        <w:t>要求</w:t>
      </w:r>
      <w:bookmarkEnd w:id="142"/>
    </w:p>
    <w:p w14:paraId="0CA76194">
      <w:pPr>
        <w:pStyle w:val="106"/>
        <w:numPr>
          <w:ilvl w:val="0"/>
          <w:numId w:val="0"/>
        </w:numPr>
        <w:spacing w:before="156" w:after="156"/>
        <w:ind w:firstLine="420" w:firstLineChars="200"/>
        <w:rPr>
          <w:rFonts w:hint="eastAsia" w:ascii="宋体" w:hAnsi="宋体" w:eastAsia="宋体" w:cs="宋体"/>
          <w:szCs w:val="21"/>
        </w:rPr>
      </w:pPr>
      <w:r>
        <w:rPr>
          <w:rFonts w:hint="eastAsia" w:ascii="宋体" w:hAnsi="宋体" w:eastAsia="宋体" w:cs="宋体"/>
          <w:szCs w:val="21"/>
        </w:rPr>
        <w:t>操作系统安全、数据库软件安全、应用服务器软件安全、杀毒软件安全等。</w:t>
      </w:r>
      <w:bookmarkStart w:id="169" w:name="_GoBack"/>
      <w:bookmarkEnd w:id="169"/>
      <w:bookmarkStart w:id="143" w:name="_Toc21807"/>
    </w:p>
    <w:p w14:paraId="0C57225E">
      <w:pPr>
        <w:pStyle w:val="66"/>
        <w:spacing w:before="156" w:after="156"/>
        <w:rPr>
          <w:rFonts w:hint="eastAsia" w:hAnsi="黑体" w:cs="黑体"/>
          <w:szCs w:val="21"/>
        </w:rPr>
      </w:pPr>
      <w:r>
        <w:rPr>
          <w:rFonts w:hint="eastAsia"/>
        </w:rPr>
        <w:t>数据安全</w:t>
      </w:r>
      <w:r>
        <w:rPr>
          <w:rFonts w:hint="eastAsia" w:hAnsi="黑体" w:cs="黑体"/>
          <w:szCs w:val="21"/>
        </w:rPr>
        <w:t>要求</w:t>
      </w:r>
      <w:bookmarkEnd w:id="143"/>
    </w:p>
    <w:p w14:paraId="05CE1B16">
      <w:pPr>
        <w:pStyle w:val="106"/>
        <w:numPr>
          <w:ilvl w:val="0"/>
          <w:numId w:val="0"/>
        </w:numPr>
        <w:spacing w:before="156" w:after="156"/>
        <w:ind w:firstLine="420" w:firstLineChars="200"/>
        <w:rPr>
          <w:rFonts w:hint="eastAsia" w:ascii="宋体" w:hAnsi="宋体" w:eastAsia="宋体" w:cs="宋体"/>
          <w:szCs w:val="21"/>
        </w:rPr>
      </w:pPr>
      <w:r>
        <w:rPr>
          <w:rFonts w:hint="eastAsia" w:ascii="宋体" w:hAnsi="宋体" w:eastAsia="宋体" w:cs="宋体"/>
          <w:szCs w:val="21"/>
        </w:rPr>
        <w:t>信息安全原则、数据库数据备份、应用程序数据备份。</w:t>
      </w:r>
      <w:bookmarkStart w:id="144" w:name="_Toc16754"/>
    </w:p>
    <w:p w14:paraId="4EF1D18A">
      <w:pPr>
        <w:pStyle w:val="66"/>
        <w:spacing w:before="156" w:after="156"/>
        <w:rPr>
          <w:rFonts w:hint="eastAsia" w:ascii="宋体" w:hAnsi="宋体" w:eastAsia="宋体" w:cs="宋体"/>
          <w:szCs w:val="21"/>
        </w:rPr>
      </w:pPr>
      <w:r>
        <w:rPr>
          <w:rFonts w:hint="eastAsia" w:hAnsi="黑体" w:cs="黑体"/>
          <w:szCs w:val="21"/>
        </w:rPr>
        <w:t>网络和</w:t>
      </w:r>
      <w:r>
        <w:rPr>
          <w:rFonts w:hint="eastAsia"/>
        </w:rPr>
        <w:t>硬件</w:t>
      </w:r>
      <w:r>
        <w:rPr>
          <w:rFonts w:hint="eastAsia" w:hAnsi="黑体" w:cs="黑体"/>
          <w:szCs w:val="21"/>
        </w:rPr>
        <w:t>安全要求</w:t>
      </w:r>
      <w:bookmarkEnd w:id="144"/>
    </w:p>
    <w:p w14:paraId="2E007DF7">
      <w:pPr>
        <w:spacing w:line="240" w:lineRule="auto"/>
        <w:ind w:firstLine="420" w:firstLineChars="200"/>
        <w:rPr>
          <w:rFonts w:ascii="Times New Roman" w:hAnsi="Times New Roman"/>
        </w:rPr>
      </w:pPr>
      <w:r>
        <w:rPr>
          <w:rFonts w:ascii="Times New Roman" w:hAnsi="Times New Roman"/>
        </w:rPr>
        <w:t>系统须采取容错性设计，提供网络安全防范措施，具有</w:t>
      </w:r>
      <w:r>
        <w:rPr>
          <w:rFonts w:hint="eastAsia" w:ascii="Times New Roman" w:hAnsi="Times New Roman"/>
        </w:rPr>
        <w:t>应对</w:t>
      </w:r>
      <w:r>
        <w:rPr>
          <w:rFonts w:ascii="Times New Roman" w:hAnsi="Times New Roman"/>
        </w:rPr>
        <w:t>恶意攻击的防护能力，</w:t>
      </w:r>
      <w:r>
        <w:rPr>
          <w:rFonts w:hint="eastAsia" w:ascii="Times New Roman" w:hAnsi="Times New Roman"/>
        </w:rPr>
        <w:t>并保证</w:t>
      </w:r>
      <w:r>
        <w:rPr>
          <w:rFonts w:ascii="Times New Roman" w:hAnsi="Times New Roman"/>
        </w:rPr>
        <w:t>安全可靠连续运行。设置通信网络设置审核环节，对入网用户进行安全审计，防止非法设备和用户接入，发现可疑行为及时报警提示。</w:t>
      </w:r>
    </w:p>
    <w:p w14:paraId="63ED369C">
      <w:pPr>
        <w:pStyle w:val="106"/>
        <w:spacing w:before="156" w:after="156"/>
      </w:pPr>
      <w:r>
        <w:rPr>
          <w:rFonts w:hAnsi="宋体" w:cs="黑体"/>
          <w:color w:val="000000"/>
          <w:szCs w:val="21"/>
          <w:lang w:bidi="ar"/>
        </w:rPr>
        <w:t>运维要求</w:t>
      </w:r>
    </w:p>
    <w:p w14:paraId="1E54DC42">
      <w:pPr>
        <w:widowControl/>
        <w:ind w:firstLine="420" w:firstLineChars="200"/>
        <w:jc w:val="left"/>
      </w:pPr>
      <w:r>
        <w:rPr>
          <w:rFonts w:hint="eastAsia" w:ascii="宋体" w:hAnsi="宋体" w:cs="宋体"/>
          <w:color w:val="000000"/>
          <w:kern w:val="0"/>
          <w:lang w:bidi="ar"/>
        </w:rPr>
        <w:t>应明确药品追溯系统运维人员，落实运维责任，确保药品追溯系统的稳定运行；应制定系统运行应急处理预案，确保故障发生时及时响应。</w:t>
      </w:r>
      <w:bookmarkEnd w:id="130"/>
    </w:p>
    <w:p w14:paraId="3892A4CC">
      <w:pPr>
        <w:pStyle w:val="106"/>
        <w:spacing w:before="156" w:after="156"/>
      </w:pPr>
      <w:r>
        <w:rPr>
          <w:rFonts w:hint="eastAsia"/>
        </w:rPr>
        <w:t>追溯管理制度</w:t>
      </w:r>
    </w:p>
    <w:p w14:paraId="6CC8F143">
      <w:pPr>
        <w:pStyle w:val="57"/>
        <w:ind w:firstLine="420"/>
      </w:pPr>
      <w:bookmarkStart w:id="145" w:name="_Toc157793806"/>
      <w:bookmarkStart w:id="146" w:name="_Toc161931875"/>
      <w:bookmarkStart w:id="147" w:name="_Toc161950101"/>
      <w:bookmarkStart w:id="148" w:name="_Toc162968072"/>
      <w:bookmarkStart w:id="149" w:name="_Toc161960348"/>
      <w:bookmarkStart w:id="150" w:name="_Toc163403682"/>
      <w:bookmarkStart w:id="151" w:name="_Toc161842507"/>
      <w:bookmarkStart w:id="152" w:name="_Toc162086088"/>
      <w:bookmarkStart w:id="153" w:name="_Hlk155967476"/>
      <w:r>
        <w:rPr>
          <w:rFonts w:hint="eastAsia"/>
        </w:rPr>
        <w:t>企业应制定追溯管理制度，包括追溯目标、追溯品种、追溯流程、追溯内容、操作人员、人员培训、检查评审等制度与文件。</w:t>
      </w:r>
    </w:p>
    <w:p w14:paraId="73DC784B">
      <w:pPr>
        <w:pStyle w:val="106"/>
        <w:spacing w:before="156" w:after="156"/>
        <w:rPr>
          <w:rFonts w:hint="eastAsia" w:hAnsi="黑体" w:cs="黑体"/>
        </w:rPr>
      </w:pPr>
      <w:r>
        <w:rPr>
          <w:rFonts w:hint="eastAsia" w:hAnsi="黑体" w:cs="黑体"/>
        </w:rPr>
        <w:t>人员</w:t>
      </w:r>
      <w:r>
        <w:rPr>
          <w:rFonts w:hint="eastAsia"/>
        </w:rPr>
        <w:t>培训</w:t>
      </w:r>
    </w:p>
    <w:p w14:paraId="6BFFD73F">
      <w:pPr>
        <w:pStyle w:val="57"/>
        <w:ind w:firstLine="420"/>
      </w:pPr>
      <w:r>
        <w:rPr>
          <w:rFonts w:hint="eastAsia"/>
        </w:rPr>
        <w:t>企业应提供有效的追溯培训与措施，确定培训的方式与频次，以确保追溯工作人员能够胜任，培训的内容包括但不限于:</w:t>
      </w:r>
    </w:p>
    <w:p w14:paraId="50F16B6B">
      <w:pPr>
        <w:pStyle w:val="57"/>
        <w:ind w:firstLine="0" w:firstLineChars="0"/>
      </w:pPr>
      <w:r>
        <w:rPr>
          <w:rFonts w:hint="eastAsia"/>
        </w:rPr>
        <w:t>——与追溯相关的国家与地方法律法规；</w:t>
      </w:r>
    </w:p>
    <w:p w14:paraId="58B2D87D">
      <w:pPr>
        <w:pStyle w:val="57"/>
        <w:ind w:firstLine="0" w:firstLineChars="0"/>
      </w:pPr>
      <w:r>
        <w:rPr>
          <w:rFonts w:hint="eastAsia"/>
        </w:rPr>
        <w:t>——与追溯相关的标准、规范与指南等；</w:t>
      </w:r>
    </w:p>
    <w:p w14:paraId="60280D79">
      <w:pPr>
        <w:pStyle w:val="57"/>
        <w:ind w:firstLine="0" w:firstLineChars="0"/>
      </w:pPr>
      <w:r>
        <w:rPr>
          <w:rFonts w:hint="eastAsia"/>
        </w:rPr>
        <w:t>——与追溯相关的企业内部管理制度、岗位职责、产品质量标准及文件和记录要求等；</w:t>
      </w:r>
    </w:p>
    <w:p w14:paraId="7B99C188">
      <w:pPr>
        <w:pStyle w:val="57"/>
        <w:ind w:firstLine="0" w:firstLineChars="0"/>
      </w:pPr>
      <w:r>
        <w:rPr>
          <w:rFonts w:hint="eastAsia"/>
        </w:rPr>
        <w:t>——追溯内容审核和改进；</w:t>
      </w:r>
    </w:p>
    <w:p w14:paraId="54A271CB">
      <w:pPr>
        <w:pStyle w:val="57"/>
        <w:ind w:firstLine="0" w:firstLineChars="0"/>
      </w:pPr>
      <w:r>
        <w:rPr>
          <w:rFonts w:hint="eastAsia"/>
        </w:rPr>
        <w:t>——其他相关内容。</w:t>
      </w:r>
    </w:p>
    <w:p w14:paraId="76F46E75">
      <w:pPr>
        <w:pStyle w:val="105"/>
        <w:spacing w:before="312" w:after="312"/>
      </w:pPr>
      <w:bookmarkStart w:id="154" w:name="_Toc212578239"/>
      <w:bookmarkStart w:id="155" w:name="_Toc212575534"/>
      <w:bookmarkStart w:id="156" w:name="_Toc212575309"/>
      <w:r>
        <w:rPr>
          <w:rFonts w:hint="eastAsia"/>
        </w:rPr>
        <w:t>追溯信息采集</w:t>
      </w:r>
      <w:bookmarkEnd w:id="145"/>
      <w:r>
        <w:rPr>
          <w:rFonts w:hint="eastAsia"/>
        </w:rPr>
        <w:t>内容</w:t>
      </w:r>
      <w:bookmarkEnd w:id="146"/>
      <w:bookmarkEnd w:id="147"/>
      <w:bookmarkEnd w:id="148"/>
      <w:bookmarkEnd w:id="149"/>
      <w:bookmarkEnd w:id="150"/>
      <w:bookmarkEnd w:id="151"/>
      <w:bookmarkEnd w:id="152"/>
      <w:bookmarkEnd w:id="154"/>
      <w:bookmarkEnd w:id="155"/>
      <w:bookmarkEnd w:id="156"/>
    </w:p>
    <w:p w14:paraId="1A3E660F">
      <w:pPr>
        <w:pStyle w:val="106"/>
        <w:spacing w:before="156" w:after="156"/>
      </w:pPr>
      <w:r>
        <w:rPr>
          <w:rFonts w:hint="eastAsia"/>
        </w:rPr>
        <w:t>种植信息</w:t>
      </w:r>
    </w:p>
    <w:p w14:paraId="66DE021F">
      <w:pPr>
        <w:pStyle w:val="133"/>
        <w:numPr>
          <w:ilvl w:val="0"/>
          <w:numId w:val="0"/>
        </w:numPr>
        <w:tabs>
          <w:tab w:val="clear" w:pos="426"/>
          <w:tab w:val="clear" w:pos="2269"/>
        </w:tabs>
        <w:ind w:left="425"/>
      </w:pPr>
      <w:r>
        <w:rPr>
          <w:rFonts w:hint="eastAsia"/>
        </w:rPr>
        <w:t>种质信息、种植信息、加工信息、质量信息等。</w:t>
      </w:r>
    </w:p>
    <w:p w14:paraId="6E0453B3">
      <w:pPr>
        <w:pStyle w:val="106"/>
        <w:spacing w:before="156" w:after="156"/>
      </w:pPr>
      <w:r>
        <w:rPr>
          <w:rFonts w:hint="eastAsia"/>
        </w:rPr>
        <w:t>采收信息</w:t>
      </w:r>
    </w:p>
    <w:p w14:paraId="370BDE35">
      <w:pPr>
        <w:pStyle w:val="133"/>
        <w:numPr>
          <w:ilvl w:val="0"/>
          <w:numId w:val="0"/>
        </w:numPr>
        <w:tabs>
          <w:tab w:val="clear" w:pos="426"/>
          <w:tab w:val="clear" w:pos="2269"/>
        </w:tabs>
        <w:ind w:left="425"/>
      </w:pPr>
      <w:r>
        <w:rPr>
          <w:rFonts w:hint="eastAsia"/>
        </w:rPr>
        <w:t>采收时间、采收地点、采收人员、采收方法、采收数量等。</w:t>
      </w:r>
    </w:p>
    <w:p w14:paraId="5D586B8C">
      <w:pPr>
        <w:pStyle w:val="106"/>
        <w:spacing w:before="156" w:after="156"/>
      </w:pPr>
      <w:r>
        <w:rPr>
          <w:rFonts w:hint="eastAsia"/>
        </w:rPr>
        <w:t>加工信息</w:t>
      </w:r>
    </w:p>
    <w:p w14:paraId="2422C0F6">
      <w:pPr>
        <w:pStyle w:val="133"/>
        <w:numPr>
          <w:ilvl w:val="0"/>
          <w:numId w:val="0"/>
        </w:numPr>
        <w:tabs>
          <w:tab w:val="clear" w:pos="426"/>
          <w:tab w:val="clear" w:pos="2269"/>
        </w:tabs>
        <w:ind w:left="425"/>
      </w:pPr>
      <w:r>
        <w:rPr>
          <w:rFonts w:hint="eastAsia"/>
        </w:rPr>
        <w:t>加工时间、加工地点、加工人员、加工方法、加工数量、企业信息等。</w:t>
      </w:r>
    </w:p>
    <w:p w14:paraId="645174CE">
      <w:pPr>
        <w:pStyle w:val="106"/>
        <w:spacing w:before="156" w:after="156"/>
      </w:pPr>
      <w:r>
        <w:rPr>
          <w:rFonts w:hint="eastAsia"/>
        </w:rPr>
        <w:t>饮片信息</w:t>
      </w:r>
    </w:p>
    <w:p w14:paraId="23FB0211">
      <w:pPr>
        <w:pStyle w:val="133"/>
        <w:numPr>
          <w:ilvl w:val="0"/>
          <w:numId w:val="0"/>
        </w:numPr>
        <w:tabs>
          <w:tab w:val="clear" w:pos="426"/>
          <w:tab w:val="clear" w:pos="2269"/>
        </w:tabs>
        <w:ind w:left="425"/>
      </w:pPr>
      <w:r>
        <w:rPr>
          <w:rFonts w:hint="eastAsia"/>
        </w:rPr>
        <w:t>饮片名称、饮片规格、饮片批号、饮片产地等。</w:t>
      </w:r>
    </w:p>
    <w:p w14:paraId="6F8B09FC">
      <w:pPr>
        <w:pStyle w:val="106"/>
        <w:spacing w:before="156" w:after="156"/>
      </w:pPr>
      <w:r>
        <w:rPr>
          <w:rFonts w:hint="eastAsia"/>
        </w:rPr>
        <w:t>贮藏运输信息</w:t>
      </w:r>
    </w:p>
    <w:p w14:paraId="440AF126">
      <w:pPr>
        <w:pStyle w:val="133"/>
        <w:numPr>
          <w:ilvl w:val="0"/>
          <w:numId w:val="0"/>
        </w:numPr>
        <w:tabs>
          <w:tab w:val="clear" w:pos="426"/>
          <w:tab w:val="clear" w:pos="2269"/>
        </w:tabs>
        <w:ind w:left="425"/>
      </w:pPr>
      <w:r>
        <w:rPr>
          <w:rFonts w:hint="eastAsia"/>
        </w:rPr>
        <w:t>贮藏条件信息、贮藏管理信息、运输工具信息、运输过程信息等。</w:t>
      </w:r>
    </w:p>
    <w:p w14:paraId="72D20828">
      <w:pPr>
        <w:pStyle w:val="106"/>
        <w:spacing w:before="156" w:after="156"/>
      </w:pPr>
      <w:r>
        <w:rPr>
          <w:rFonts w:hint="eastAsia"/>
        </w:rPr>
        <w:t>质量信息</w:t>
      </w:r>
    </w:p>
    <w:p w14:paraId="7E8FE010">
      <w:pPr>
        <w:pStyle w:val="133"/>
        <w:numPr>
          <w:ilvl w:val="0"/>
          <w:numId w:val="0"/>
        </w:numPr>
        <w:tabs>
          <w:tab w:val="clear" w:pos="426"/>
          <w:tab w:val="clear" w:pos="2269"/>
        </w:tabs>
        <w:ind w:left="425"/>
      </w:pPr>
      <w:r>
        <w:rPr>
          <w:rFonts w:hint="eastAsia"/>
        </w:rPr>
        <w:t>质量标准、检验检测、质量审核等。</w:t>
      </w:r>
    </w:p>
    <w:p w14:paraId="7093B7A0">
      <w:pPr>
        <w:pStyle w:val="106"/>
        <w:spacing w:before="156" w:after="156"/>
      </w:pPr>
      <w:r>
        <w:rPr>
          <w:rFonts w:hint="eastAsia"/>
        </w:rPr>
        <w:t>销售信息</w:t>
      </w:r>
    </w:p>
    <w:p w14:paraId="6DF87207">
      <w:pPr>
        <w:pStyle w:val="133"/>
        <w:numPr>
          <w:ilvl w:val="0"/>
          <w:numId w:val="0"/>
        </w:numPr>
        <w:tabs>
          <w:tab w:val="clear" w:pos="426"/>
          <w:tab w:val="clear" w:pos="2269"/>
        </w:tabs>
        <w:ind w:left="425"/>
      </w:pPr>
      <w:r>
        <w:rPr>
          <w:rFonts w:hint="eastAsia"/>
        </w:rPr>
        <w:t>销售渠道信息、销售记录、售后服务信息等。</w:t>
      </w:r>
    </w:p>
    <w:p w14:paraId="6F3B6EF3">
      <w:pPr>
        <w:pStyle w:val="105"/>
        <w:spacing w:before="312" w:after="312"/>
      </w:pPr>
      <w:bookmarkStart w:id="157" w:name="_Toc163403683"/>
      <w:bookmarkStart w:id="158" w:name="_Toc157793808"/>
      <w:bookmarkStart w:id="159" w:name="_Toc162968073"/>
      <w:bookmarkStart w:id="160" w:name="_Toc161842508"/>
      <w:bookmarkStart w:id="161" w:name="_Toc212578240"/>
      <w:bookmarkStart w:id="162" w:name="_Toc212575310"/>
      <w:bookmarkStart w:id="163" w:name="_Toc161950102"/>
      <w:bookmarkStart w:id="164" w:name="_Toc161931876"/>
      <w:bookmarkStart w:id="165" w:name="_Toc161960349"/>
      <w:bookmarkStart w:id="166" w:name="_Toc162086089"/>
      <w:bookmarkStart w:id="167" w:name="_Toc212575535"/>
      <w:r>
        <w:rPr>
          <w:rFonts w:hint="eastAsia"/>
        </w:rPr>
        <w:t>追溯信息管理</w:t>
      </w:r>
      <w:bookmarkEnd w:id="157"/>
      <w:bookmarkEnd w:id="158"/>
      <w:bookmarkEnd w:id="159"/>
      <w:bookmarkEnd w:id="160"/>
      <w:bookmarkEnd w:id="161"/>
      <w:bookmarkEnd w:id="162"/>
      <w:bookmarkEnd w:id="163"/>
      <w:bookmarkEnd w:id="164"/>
      <w:bookmarkEnd w:id="165"/>
      <w:bookmarkEnd w:id="166"/>
      <w:bookmarkEnd w:id="167"/>
    </w:p>
    <w:p w14:paraId="561C5C95">
      <w:pPr>
        <w:pStyle w:val="106"/>
        <w:spacing w:before="156" w:after="156"/>
      </w:pPr>
      <w:r>
        <w:rPr>
          <w:rFonts w:hint="eastAsia"/>
        </w:rPr>
        <w:t>信息存储</w:t>
      </w:r>
    </w:p>
    <w:p w14:paraId="1918A728">
      <w:pPr>
        <w:pStyle w:val="57"/>
        <w:ind w:firstLine="420"/>
      </w:pPr>
      <w:r>
        <w:rPr>
          <w:rFonts w:hint="eastAsia"/>
        </w:rPr>
        <w:t>纸质记录信息应按实际生产作业信息及时记录整理核实归档,纸质信息转换成的电子记录信息应及时备份，所有信息档案至少保存3年。</w:t>
      </w:r>
    </w:p>
    <w:p w14:paraId="61D17A01">
      <w:pPr>
        <w:pStyle w:val="106"/>
        <w:spacing w:before="156" w:after="156"/>
      </w:pPr>
      <w:r>
        <w:rPr>
          <w:rFonts w:hint="eastAsia"/>
        </w:rPr>
        <w:t>信息呈现</w:t>
      </w:r>
    </w:p>
    <w:p w14:paraId="3C42555A">
      <w:pPr>
        <w:pStyle w:val="57"/>
        <w:ind w:firstLine="420"/>
      </w:pPr>
      <w:r>
        <w:rPr>
          <w:rFonts w:hint="eastAsia"/>
        </w:rPr>
        <w:t>在每一环节操作结束时，应及时将纸质记录信息转换成电子信息，将电子信息通过网络方式传递给下一环节，最后汇总传递到追溯信息平台系统，提供第三方数据共享接口，满足政府监管需要，探索区块链等新技术应用于追溯信息安全体系。</w:t>
      </w:r>
    </w:p>
    <w:p w14:paraId="57D12121">
      <w:pPr>
        <w:pStyle w:val="106"/>
        <w:spacing w:before="156" w:after="156"/>
      </w:pPr>
      <w:r>
        <w:rPr>
          <w:rFonts w:hint="eastAsia"/>
        </w:rPr>
        <w:t>追溯赋码</w:t>
      </w:r>
    </w:p>
    <w:p w14:paraId="0CF0DB1D">
      <w:pPr>
        <w:pStyle w:val="57"/>
        <w:ind w:firstLine="420"/>
      </w:pPr>
      <w:r>
        <w:rPr>
          <w:rFonts w:hint="eastAsia"/>
        </w:rPr>
        <w:t>追溯信息应关联到追溯码上，可通过印刷、粘贴、挂牌等形式附在产品外包装、标识牌上，应至少包括追溯标识、产品追溯码、信息查询渠道。</w:t>
      </w:r>
    </w:p>
    <w:bookmarkEnd w:id="45"/>
    <w:bookmarkEnd w:id="131"/>
    <w:bookmarkEnd w:id="153"/>
    <w:p w14:paraId="0F129F23">
      <w:pPr>
        <w:pStyle w:val="57"/>
        <w:ind w:firstLine="0" w:firstLineChars="0"/>
        <w:jc w:val="center"/>
      </w:pPr>
      <w:bookmarkStart w:id="168" w:name="BookMark8"/>
      <w:r>
        <w:rPr>
          <w:rFonts w:hint="eastAsia"/>
        </w:rPr>
        <w:drawing>
          <wp:inline distT="0" distB="0" distL="0" distR="0">
            <wp:extent cx="1485900" cy="317500"/>
            <wp:effectExtent l="0" t="0" r="0" b="6350"/>
            <wp:docPr id="1106277231" name="图片 1"/>
            <wp:cNvGraphicFramePr/>
            <a:graphic xmlns:a="http://schemas.openxmlformats.org/drawingml/2006/main">
              <a:graphicData uri="http://schemas.openxmlformats.org/drawingml/2006/picture">
                <pic:pic xmlns:pic="http://schemas.openxmlformats.org/drawingml/2006/picture">
                  <pic:nvPicPr>
                    <pic:cNvPr id="110627723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8"/>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09271">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0F420">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57A0F">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EAE02">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FC835">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0EB72">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D4681">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BD61C">
    <w:pPr>
      <w:pStyle w:val="62"/>
      <w:rPr>
        <w:rFonts w:hint="eastAsia"/>
      </w:rPr>
    </w:pPr>
    <w:r>
      <w:fldChar w:fldCharType="begin"/>
    </w:r>
    <w:r>
      <w:instrText xml:space="preserve"> STYLEREF  标准文件_文件编号  \* MERGEFORMAT </w:instrText>
    </w:r>
    <w:r>
      <w:fldChar w:fldCharType="separate"/>
    </w:r>
    <w:r>
      <w:t>Q/STZ 0002—2025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CA215">
    <w:pPr>
      <w:pStyle w:val="19"/>
      <w:jc w:val="right"/>
    </w:pPr>
    <w:r>
      <w:fldChar w:fldCharType="begin"/>
    </w:r>
    <w:r>
      <w:instrText xml:space="preserve"> STYLEREF  标准文件_文件编号  \* MERGEFORMAT </w:instrText>
    </w:r>
    <w:r>
      <w:fldChar w:fldCharType="separate"/>
    </w:r>
    <w:r>
      <w:t>Q/STZ 0002—2025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426"/>
        </w:tabs>
        <w:ind w:left="426"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1" w:cryptProviderType="rsaAES" w:cryptAlgorithmClass="hash" w:cryptAlgorithmType="typeAny" w:cryptAlgorithmSid="14" w:cryptSpinCount="100000" w:hash="FCcN1Ds+reeRz084fr843J350YBJ2F3+r05ENMZq+WaacqgC5zMHqxdw/yhheg7LHv2eOQFJJpuDXppdgwrVFw==" w:salt="gqDm5mXZXBJsPOC3jlGSqA=="/>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jZjBhYmY3MzA3NmNkYTQ3NjI4MTE0Y2I3ZWRjNjgifQ=="/>
  </w:docVars>
  <w:rsids>
    <w:rsidRoot w:val="00D411D7"/>
    <w:rsid w:val="0000040A"/>
    <w:rsid w:val="00000A94"/>
    <w:rsid w:val="00001972"/>
    <w:rsid w:val="00001D9A"/>
    <w:rsid w:val="0000380F"/>
    <w:rsid w:val="00007B3A"/>
    <w:rsid w:val="000107E0"/>
    <w:rsid w:val="0001099D"/>
    <w:rsid w:val="00011FDE"/>
    <w:rsid w:val="00012FFD"/>
    <w:rsid w:val="00014162"/>
    <w:rsid w:val="00014340"/>
    <w:rsid w:val="00016A9C"/>
    <w:rsid w:val="00016DF5"/>
    <w:rsid w:val="00022184"/>
    <w:rsid w:val="00022762"/>
    <w:rsid w:val="000238E0"/>
    <w:rsid w:val="000249DB"/>
    <w:rsid w:val="0002595E"/>
    <w:rsid w:val="0002673A"/>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6CB"/>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284"/>
    <w:rsid w:val="000A7311"/>
    <w:rsid w:val="000B060F"/>
    <w:rsid w:val="000B1592"/>
    <w:rsid w:val="000B1FF2"/>
    <w:rsid w:val="000B3CDA"/>
    <w:rsid w:val="000B486C"/>
    <w:rsid w:val="000B6A0B"/>
    <w:rsid w:val="000B7BAE"/>
    <w:rsid w:val="000C0F6C"/>
    <w:rsid w:val="000C11DB"/>
    <w:rsid w:val="000C1492"/>
    <w:rsid w:val="000C2FBD"/>
    <w:rsid w:val="000C4B41"/>
    <w:rsid w:val="000C57D6"/>
    <w:rsid w:val="000C6362"/>
    <w:rsid w:val="000C7666"/>
    <w:rsid w:val="000C7997"/>
    <w:rsid w:val="000D0A9C"/>
    <w:rsid w:val="000D1795"/>
    <w:rsid w:val="000D329A"/>
    <w:rsid w:val="000D4B9C"/>
    <w:rsid w:val="000D4EB6"/>
    <w:rsid w:val="000D753B"/>
    <w:rsid w:val="000E4C9E"/>
    <w:rsid w:val="000E6FD7"/>
    <w:rsid w:val="000F06E1"/>
    <w:rsid w:val="000F0E3C"/>
    <w:rsid w:val="000F19D5"/>
    <w:rsid w:val="000F4AEA"/>
    <w:rsid w:val="000F67E9"/>
    <w:rsid w:val="001030D7"/>
    <w:rsid w:val="00104926"/>
    <w:rsid w:val="00107F35"/>
    <w:rsid w:val="00113B1E"/>
    <w:rsid w:val="001168D5"/>
    <w:rsid w:val="0011711C"/>
    <w:rsid w:val="001178F7"/>
    <w:rsid w:val="001218A0"/>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274"/>
    <w:rsid w:val="001529E5"/>
    <w:rsid w:val="00153C7E"/>
    <w:rsid w:val="00154D6F"/>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826"/>
    <w:rsid w:val="001705CA"/>
    <w:rsid w:val="00170804"/>
    <w:rsid w:val="001708E9"/>
    <w:rsid w:val="00171250"/>
    <w:rsid w:val="0017340B"/>
    <w:rsid w:val="00173FB1"/>
    <w:rsid w:val="00176DFD"/>
    <w:rsid w:val="001852C9"/>
    <w:rsid w:val="00190087"/>
    <w:rsid w:val="001913C4"/>
    <w:rsid w:val="0019348F"/>
    <w:rsid w:val="00193A07"/>
    <w:rsid w:val="00194296"/>
    <w:rsid w:val="00194C95"/>
    <w:rsid w:val="00195C34"/>
    <w:rsid w:val="00196EF5"/>
    <w:rsid w:val="001A1A53"/>
    <w:rsid w:val="001A234A"/>
    <w:rsid w:val="001A4CF3"/>
    <w:rsid w:val="001B06E8"/>
    <w:rsid w:val="001B3597"/>
    <w:rsid w:val="001B71D0"/>
    <w:rsid w:val="001B71EE"/>
    <w:rsid w:val="001C04A8"/>
    <w:rsid w:val="001C2C03"/>
    <w:rsid w:val="001C42F7"/>
    <w:rsid w:val="001C49E5"/>
    <w:rsid w:val="001C680C"/>
    <w:rsid w:val="001C7FC9"/>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5F75"/>
    <w:rsid w:val="00210B15"/>
    <w:rsid w:val="00213F84"/>
    <w:rsid w:val="002142EA"/>
    <w:rsid w:val="002204BB"/>
    <w:rsid w:val="00221B79"/>
    <w:rsid w:val="00221C6B"/>
    <w:rsid w:val="002253A1"/>
    <w:rsid w:val="00225CF8"/>
    <w:rsid w:val="00226A55"/>
    <w:rsid w:val="0022794E"/>
    <w:rsid w:val="00233D64"/>
    <w:rsid w:val="0023482A"/>
    <w:rsid w:val="002359CB"/>
    <w:rsid w:val="00243540"/>
    <w:rsid w:val="0024497B"/>
    <w:rsid w:val="00244C26"/>
    <w:rsid w:val="0024515B"/>
    <w:rsid w:val="00246021"/>
    <w:rsid w:val="0024666E"/>
    <w:rsid w:val="00247742"/>
    <w:rsid w:val="00247F52"/>
    <w:rsid w:val="00250888"/>
    <w:rsid w:val="00250B25"/>
    <w:rsid w:val="00250BBE"/>
    <w:rsid w:val="002515C2"/>
    <w:rsid w:val="0025194F"/>
    <w:rsid w:val="0026148A"/>
    <w:rsid w:val="00262696"/>
    <w:rsid w:val="00263934"/>
    <w:rsid w:val="00263D25"/>
    <w:rsid w:val="002643C3"/>
    <w:rsid w:val="00264A0C"/>
    <w:rsid w:val="00266EEB"/>
    <w:rsid w:val="00267EF4"/>
    <w:rsid w:val="00270CB8"/>
    <w:rsid w:val="00272B08"/>
    <w:rsid w:val="00281794"/>
    <w:rsid w:val="00281BB8"/>
    <w:rsid w:val="00281E9E"/>
    <w:rsid w:val="00282405"/>
    <w:rsid w:val="00285170"/>
    <w:rsid w:val="00285361"/>
    <w:rsid w:val="00292D60"/>
    <w:rsid w:val="00293B30"/>
    <w:rsid w:val="00294D34"/>
    <w:rsid w:val="00294E3B"/>
    <w:rsid w:val="00296193"/>
    <w:rsid w:val="00296C66"/>
    <w:rsid w:val="00296EBE"/>
    <w:rsid w:val="002974E3"/>
    <w:rsid w:val="002974EA"/>
    <w:rsid w:val="00297910"/>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5E61"/>
    <w:rsid w:val="002B686C"/>
    <w:rsid w:val="002B7332"/>
    <w:rsid w:val="002B79CB"/>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1B38"/>
    <w:rsid w:val="002F30E0"/>
    <w:rsid w:val="002F35E4"/>
    <w:rsid w:val="002F3730"/>
    <w:rsid w:val="002F38E1"/>
    <w:rsid w:val="002F7AF6"/>
    <w:rsid w:val="00300E63"/>
    <w:rsid w:val="00301C06"/>
    <w:rsid w:val="00302F5F"/>
    <w:rsid w:val="0030441D"/>
    <w:rsid w:val="00306063"/>
    <w:rsid w:val="00313B85"/>
    <w:rsid w:val="00317988"/>
    <w:rsid w:val="003221B4"/>
    <w:rsid w:val="0032258D"/>
    <w:rsid w:val="00322E62"/>
    <w:rsid w:val="00324D13"/>
    <w:rsid w:val="00324EDD"/>
    <w:rsid w:val="003331E4"/>
    <w:rsid w:val="003356F0"/>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E7A"/>
    <w:rsid w:val="00386419"/>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41C7"/>
    <w:rsid w:val="003B5BF0"/>
    <w:rsid w:val="003B60BF"/>
    <w:rsid w:val="003B6BE3"/>
    <w:rsid w:val="003C010C"/>
    <w:rsid w:val="003C0A6C"/>
    <w:rsid w:val="003C14F8"/>
    <w:rsid w:val="003C4E3F"/>
    <w:rsid w:val="003C5A43"/>
    <w:rsid w:val="003C61A9"/>
    <w:rsid w:val="003D0519"/>
    <w:rsid w:val="003D0FF6"/>
    <w:rsid w:val="003D262C"/>
    <w:rsid w:val="003D2933"/>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36A"/>
    <w:rsid w:val="00405884"/>
    <w:rsid w:val="00407D39"/>
    <w:rsid w:val="0041477A"/>
    <w:rsid w:val="004167A3"/>
    <w:rsid w:val="00422A4C"/>
    <w:rsid w:val="00432DAA"/>
    <w:rsid w:val="00434305"/>
    <w:rsid w:val="004356B7"/>
    <w:rsid w:val="00435DF7"/>
    <w:rsid w:val="0044083F"/>
    <w:rsid w:val="00441AE7"/>
    <w:rsid w:val="00445574"/>
    <w:rsid w:val="004467FB"/>
    <w:rsid w:val="00451408"/>
    <w:rsid w:val="00452D6B"/>
    <w:rsid w:val="00454484"/>
    <w:rsid w:val="0045517B"/>
    <w:rsid w:val="00463B77"/>
    <w:rsid w:val="00463C7B"/>
    <w:rsid w:val="004644A6"/>
    <w:rsid w:val="004659BD"/>
    <w:rsid w:val="00470775"/>
    <w:rsid w:val="004746B1"/>
    <w:rsid w:val="0047583F"/>
    <w:rsid w:val="00475DE8"/>
    <w:rsid w:val="004763A2"/>
    <w:rsid w:val="00481C44"/>
    <w:rsid w:val="00482D85"/>
    <w:rsid w:val="00484936"/>
    <w:rsid w:val="00485C89"/>
    <w:rsid w:val="00486BE3"/>
    <w:rsid w:val="004905E4"/>
    <w:rsid w:val="00490A89"/>
    <w:rsid w:val="00490AB4"/>
    <w:rsid w:val="00492F02"/>
    <w:rsid w:val="004939AE"/>
    <w:rsid w:val="004A0365"/>
    <w:rsid w:val="004A12DF"/>
    <w:rsid w:val="004A16DD"/>
    <w:rsid w:val="004A1BA8"/>
    <w:rsid w:val="004A4B57"/>
    <w:rsid w:val="004A63FA"/>
    <w:rsid w:val="004B0272"/>
    <w:rsid w:val="004B2701"/>
    <w:rsid w:val="004B2E1B"/>
    <w:rsid w:val="004B349B"/>
    <w:rsid w:val="004B3AA8"/>
    <w:rsid w:val="004B3E93"/>
    <w:rsid w:val="004C1FBC"/>
    <w:rsid w:val="004C3F1D"/>
    <w:rsid w:val="004C458D"/>
    <w:rsid w:val="004C7556"/>
    <w:rsid w:val="004C7E8B"/>
    <w:rsid w:val="004C7E9D"/>
    <w:rsid w:val="004C7F67"/>
    <w:rsid w:val="004D076D"/>
    <w:rsid w:val="004D07A6"/>
    <w:rsid w:val="004D0EF1"/>
    <w:rsid w:val="004D2253"/>
    <w:rsid w:val="004D2BD2"/>
    <w:rsid w:val="004D3403"/>
    <w:rsid w:val="004D4406"/>
    <w:rsid w:val="004D7C42"/>
    <w:rsid w:val="004E0465"/>
    <w:rsid w:val="004E127B"/>
    <w:rsid w:val="004E1C0A"/>
    <w:rsid w:val="004E2430"/>
    <w:rsid w:val="004E30C5"/>
    <w:rsid w:val="004E4AA5"/>
    <w:rsid w:val="004E4AEE"/>
    <w:rsid w:val="004E59E3"/>
    <w:rsid w:val="004E67C0"/>
    <w:rsid w:val="004F2C7F"/>
    <w:rsid w:val="004F391A"/>
    <w:rsid w:val="004F3CFB"/>
    <w:rsid w:val="004F3D61"/>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C10"/>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391"/>
    <w:rsid w:val="005608D5"/>
    <w:rsid w:val="00561475"/>
    <w:rsid w:val="0056487B"/>
    <w:rsid w:val="00564FB9"/>
    <w:rsid w:val="00573D9E"/>
    <w:rsid w:val="0057677B"/>
    <w:rsid w:val="005801E3"/>
    <w:rsid w:val="00581802"/>
    <w:rsid w:val="005836A8"/>
    <w:rsid w:val="0058409C"/>
    <w:rsid w:val="00584262"/>
    <w:rsid w:val="00586630"/>
    <w:rsid w:val="00587ADD"/>
    <w:rsid w:val="00596160"/>
    <w:rsid w:val="005966E2"/>
    <w:rsid w:val="00597007"/>
    <w:rsid w:val="005A0966"/>
    <w:rsid w:val="005A11B7"/>
    <w:rsid w:val="005A260B"/>
    <w:rsid w:val="005A32F1"/>
    <w:rsid w:val="005A4A1B"/>
    <w:rsid w:val="005A7830"/>
    <w:rsid w:val="005A7FCE"/>
    <w:rsid w:val="005B0F3F"/>
    <w:rsid w:val="005B4903"/>
    <w:rsid w:val="005B51CE"/>
    <w:rsid w:val="005B5885"/>
    <w:rsid w:val="005B5CD7"/>
    <w:rsid w:val="005B6CF6"/>
    <w:rsid w:val="005B7422"/>
    <w:rsid w:val="005C29B8"/>
    <w:rsid w:val="005C5F21"/>
    <w:rsid w:val="005C7156"/>
    <w:rsid w:val="005C7D03"/>
    <w:rsid w:val="005D0344"/>
    <w:rsid w:val="005D0C75"/>
    <w:rsid w:val="005D4171"/>
    <w:rsid w:val="005D6A95"/>
    <w:rsid w:val="005D6B2C"/>
    <w:rsid w:val="005D6D9C"/>
    <w:rsid w:val="005E2335"/>
    <w:rsid w:val="005E34CA"/>
    <w:rsid w:val="005E3C18"/>
    <w:rsid w:val="005E4038"/>
    <w:rsid w:val="005E6812"/>
    <w:rsid w:val="005E7881"/>
    <w:rsid w:val="005E78E0"/>
    <w:rsid w:val="005F0437"/>
    <w:rsid w:val="005F0D9C"/>
    <w:rsid w:val="005F284E"/>
    <w:rsid w:val="005F40C5"/>
    <w:rsid w:val="006015CE"/>
    <w:rsid w:val="00603C0A"/>
    <w:rsid w:val="00603E9A"/>
    <w:rsid w:val="00604784"/>
    <w:rsid w:val="00606419"/>
    <w:rsid w:val="00607D29"/>
    <w:rsid w:val="00612952"/>
    <w:rsid w:val="00614CC1"/>
    <w:rsid w:val="00615A9D"/>
    <w:rsid w:val="00617387"/>
    <w:rsid w:val="006205D6"/>
    <w:rsid w:val="00624CEA"/>
    <w:rsid w:val="006252D8"/>
    <w:rsid w:val="006259BC"/>
    <w:rsid w:val="0062636B"/>
    <w:rsid w:val="00627F3C"/>
    <w:rsid w:val="00632182"/>
    <w:rsid w:val="00632AE0"/>
    <w:rsid w:val="00633C17"/>
    <w:rsid w:val="00634D9E"/>
    <w:rsid w:val="00636C23"/>
    <w:rsid w:val="00636E3E"/>
    <w:rsid w:val="006370C9"/>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33E"/>
    <w:rsid w:val="006655E1"/>
    <w:rsid w:val="00667E35"/>
    <w:rsid w:val="00672060"/>
    <w:rsid w:val="00672BFD"/>
    <w:rsid w:val="00675413"/>
    <w:rsid w:val="006770F4"/>
    <w:rsid w:val="00677A84"/>
    <w:rsid w:val="0068026D"/>
    <w:rsid w:val="00680A27"/>
    <w:rsid w:val="00681514"/>
    <w:rsid w:val="006816A4"/>
    <w:rsid w:val="006819B8"/>
    <w:rsid w:val="006840A6"/>
    <w:rsid w:val="006850CD"/>
    <w:rsid w:val="00685AAB"/>
    <w:rsid w:val="00694FF7"/>
    <w:rsid w:val="00696E29"/>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247"/>
    <w:rsid w:val="006D04EA"/>
    <w:rsid w:val="006D16C4"/>
    <w:rsid w:val="006D3E96"/>
    <w:rsid w:val="006D4515"/>
    <w:rsid w:val="006D4BB1"/>
    <w:rsid w:val="006D6593"/>
    <w:rsid w:val="006D743F"/>
    <w:rsid w:val="006F03A8"/>
    <w:rsid w:val="006F2ACA"/>
    <w:rsid w:val="006F2ADC"/>
    <w:rsid w:val="006F2BFE"/>
    <w:rsid w:val="006F31E9"/>
    <w:rsid w:val="006F6284"/>
    <w:rsid w:val="007002C5"/>
    <w:rsid w:val="00704387"/>
    <w:rsid w:val="00707669"/>
    <w:rsid w:val="00711687"/>
    <w:rsid w:val="00711CBA"/>
    <w:rsid w:val="00711FB5"/>
    <w:rsid w:val="00712A01"/>
    <w:rsid w:val="00714F58"/>
    <w:rsid w:val="00722FBF"/>
    <w:rsid w:val="00722FC2"/>
    <w:rsid w:val="00724E1B"/>
    <w:rsid w:val="00725949"/>
    <w:rsid w:val="00727FA2"/>
    <w:rsid w:val="007322D9"/>
    <w:rsid w:val="00732BC0"/>
    <w:rsid w:val="007353C7"/>
    <w:rsid w:val="0073720F"/>
    <w:rsid w:val="00737796"/>
    <w:rsid w:val="0074165C"/>
    <w:rsid w:val="00742C35"/>
    <w:rsid w:val="007432CA"/>
    <w:rsid w:val="007439EB"/>
    <w:rsid w:val="00743CB4"/>
    <w:rsid w:val="00743F0A"/>
    <w:rsid w:val="007444E8"/>
    <w:rsid w:val="0074548E"/>
    <w:rsid w:val="00745773"/>
    <w:rsid w:val="0074674A"/>
    <w:rsid w:val="00746800"/>
    <w:rsid w:val="007501A8"/>
    <w:rsid w:val="00750D61"/>
    <w:rsid w:val="00750EE1"/>
    <w:rsid w:val="00752B4D"/>
    <w:rsid w:val="0075385C"/>
    <w:rsid w:val="00755402"/>
    <w:rsid w:val="00756B26"/>
    <w:rsid w:val="00756EDF"/>
    <w:rsid w:val="007600E3"/>
    <w:rsid w:val="00765C43"/>
    <w:rsid w:val="00765EFB"/>
    <w:rsid w:val="007671CA"/>
    <w:rsid w:val="00767C61"/>
    <w:rsid w:val="0077008A"/>
    <w:rsid w:val="00773C1F"/>
    <w:rsid w:val="00774DA4"/>
    <w:rsid w:val="00776599"/>
    <w:rsid w:val="00777143"/>
    <w:rsid w:val="00777151"/>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1B4F"/>
    <w:rsid w:val="007F0ED8"/>
    <w:rsid w:val="007F0F63"/>
    <w:rsid w:val="007F75CE"/>
    <w:rsid w:val="008013A4"/>
    <w:rsid w:val="008027CE"/>
    <w:rsid w:val="00802F42"/>
    <w:rsid w:val="00804383"/>
    <w:rsid w:val="00804BB7"/>
    <w:rsid w:val="00804D41"/>
    <w:rsid w:val="00806A26"/>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5B2"/>
    <w:rsid w:val="00830621"/>
    <w:rsid w:val="0083348C"/>
    <w:rsid w:val="008373D3"/>
    <w:rsid w:val="00840617"/>
    <w:rsid w:val="008407E1"/>
    <w:rsid w:val="00840F84"/>
    <w:rsid w:val="00842A47"/>
    <w:rsid w:val="00843C13"/>
    <w:rsid w:val="00843F6A"/>
    <w:rsid w:val="008454F8"/>
    <w:rsid w:val="00851091"/>
    <w:rsid w:val="0085173A"/>
    <w:rsid w:val="008603CE"/>
    <w:rsid w:val="008619DB"/>
    <w:rsid w:val="008620FC"/>
    <w:rsid w:val="008627A5"/>
    <w:rsid w:val="00863E05"/>
    <w:rsid w:val="008655C4"/>
    <w:rsid w:val="00865ACA"/>
    <w:rsid w:val="00865D28"/>
    <w:rsid w:val="00865F85"/>
    <w:rsid w:val="00867C10"/>
    <w:rsid w:val="00867CF0"/>
    <w:rsid w:val="00870439"/>
    <w:rsid w:val="00870DA1"/>
    <w:rsid w:val="008767A1"/>
    <w:rsid w:val="00883F93"/>
    <w:rsid w:val="00884DB3"/>
    <w:rsid w:val="00885A9D"/>
    <w:rsid w:val="008864F6"/>
    <w:rsid w:val="008868B3"/>
    <w:rsid w:val="0089049D"/>
    <w:rsid w:val="00891107"/>
    <w:rsid w:val="008928C9"/>
    <w:rsid w:val="008930CB"/>
    <w:rsid w:val="008938DC"/>
    <w:rsid w:val="00893FD1"/>
    <w:rsid w:val="00894836"/>
    <w:rsid w:val="00895172"/>
    <w:rsid w:val="00895680"/>
    <w:rsid w:val="00895708"/>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ED3"/>
    <w:rsid w:val="008F4A8B"/>
    <w:rsid w:val="008F4C29"/>
    <w:rsid w:val="008F70BD"/>
    <w:rsid w:val="008F788F"/>
    <w:rsid w:val="008F7EA2"/>
    <w:rsid w:val="00902722"/>
    <w:rsid w:val="009027BC"/>
    <w:rsid w:val="009062E6"/>
    <w:rsid w:val="009079B1"/>
    <w:rsid w:val="00911BE5"/>
    <w:rsid w:val="00913CA9"/>
    <w:rsid w:val="009145AE"/>
    <w:rsid w:val="009146CE"/>
    <w:rsid w:val="00914CA7"/>
    <w:rsid w:val="00915039"/>
    <w:rsid w:val="00915C3E"/>
    <w:rsid w:val="009161A8"/>
    <w:rsid w:val="009245F5"/>
    <w:rsid w:val="009249EC"/>
    <w:rsid w:val="00924AB5"/>
    <w:rsid w:val="009273B3"/>
    <w:rsid w:val="009305B5"/>
    <w:rsid w:val="00931716"/>
    <w:rsid w:val="009341AD"/>
    <w:rsid w:val="00940CDD"/>
    <w:rsid w:val="009429D5"/>
    <w:rsid w:val="00942BF1"/>
    <w:rsid w:val="00945180"/>
    <w:rsid w:val="00945428"/>
    <w:rsid w:val="0094607B"/>
    <w:rsid w:val="00953604"/>
    <w:rsid w:val="0095496B"/>
    <w:rsid w:val="00954F0F"/>
    <w:rsid w:val="009610DC"/>
    <w:rsid w:val="00961490"/>
    <w:rsid w:val="0096381A"/>
    <w:rsid w:val="00965E04"/>
    <w:rsid w:val="009674AD"/>
    <w:rsid w:val="00970CDC"/>
    <w:rsid w:val="0097362F"/>
    <w:rsid w:val="00975727"/>
    <w:rsid w:val="00977010"/>
    <w:rsid w:val="00977D02"/>
    <w:rsid w:val="009809BB"/>
    <w:rsid w:val="0098364B"/>
    <w:rsid w:val="00985C28"/>
    <w:rsid w:val="009911AF"/>
    <w:rsid w:val="00991875"/>
    <w:rsid w:val="00991F92"/>
    <w:rsid w:val="00992985"/>
    <w:rsid w:val="00993889"/>
    <w:rsid w:val="0099551B"/>
    <w:rsid w:val="00995946"/>
    <w:rsid w:val="00997BF1"/>
    <w:rsid w:val="009A089C"/>
    <w:rsid w:val="009A118E"/>
    <w:rsid w:val="009A21CD"/>
    <w:rsid w:val="009A278C"/>
    <w:rsid w:val="009A2BC2"/>
    <w:rsid w:val="009A3EEA"/>
    <w:rsid w:val="009A42C1"/>
    <w:rsid w:val="009A5429"/>
    <w:rsid w:val="009A72AD"/>
    <w:rsid w:val="009B09E0"/>
    <w:rsid w:val="009B0BC5"/>
    <w:rsid w:val="009B1247"/>
    <w:rsid w:val="009B6029"/>
    <w:rsid w:val="009B6971"/>
    <w:rsid w:val="009C27F1"/>
    <w:rsid w:val="009C3152"/>
    <w:rsid w:val="009C4CFA"/>
    <w:rsid w:val="009C5070"/>
    <w:rsid w:val="009D112C"/>
    <w:rsid w:val="009D302E"/>
    <w:rsid w:val="009D47FA"/>
    <w:rsid w:val="009D4C5B"/>
    <w:rsid w:val="009D50D2"/>
    <w:rsid w:val="009D651A"/>
    <w:rsid w:val="009D6BCA"/>
    <w:rsid w:val="009E0F62"/>
    <w:rsid w:val="009E4A58"/>
    <w:rsid w:val="009E5A2D"/>
    <w:rsid w:val="009E5AB2"/>
    <w:rsid w:val="009E6219"/>
    <w:rsid w:val="009F03B3"/>
    <w:rsid w:val="009F2505"/>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2271D"/>
    <w:rsid w:val="00A237D5"/>
    <w:rsid w:val="00A30EFC"/>
    <w:rsid w:val="00A31984"/>
    <w:rsid w:val="00A31E06"/>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388F"/>
    <w:rsid w:val="00A55BD6"/>
    <w:rsid w:val="00A55D50"/>
    <w:rsid w:val="00A57142"/>
    <w:rsid w:val="00A648CD"/>
    <w:rsid w:val="00A6537A"/>
    <w:rsid w:val="00A67866"/>
    <w:rsid w:val="00A70B07"/>
    <w:rsid w:val="00A723F8"/>
    <w:rsid w:val="00A77CCB"/>
    <w:rsid w:val="00A77DBC"/>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324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DD6"/>
    <w:rsid w:val="00AE2A69"/>
    <w:rsid w:val="00AE369C"/>
    <w:rsid w:val="00AE37E5"/>
    <w:rsid w:val="00AE5EB4"/>
    <w:rsid w:val="00AF0C18"/>
    <w:rsid w:val="00AF292F"/>
    <w:rsid w:val="00AF47C5"/>
    <w:rsid w:val="00AF5398"/>
    <w:rsid w:val="00B020E6"/>
    <w:rsid w:val="00B049AF"/>
    <w:rsid w:val="00B07242"/>
    <w:rsid w:val="00B10534"/>
    <w:rsid w:val="00B113DB"/>
    <w:rsid w:val="00B11D8A"/>
    <w:rsid w:val="00B12981"/>
    <w:rsid w:val="00B131B2"/>
    <w:rsid w:val="00B147DD"/>
    <w:rsid w:val="00B156FD"/>
    <w:rsid w:val="00B21F61"/>
    <w:rsid w:val="00B261F1"/>
    <w:rsid w:val="00B265BC"/>
    <w:rsid w:val="00B30699"/>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E55"/>
    <w:rsid w:val="00B605CE"/>
    <w:rsid w:val="00B60ACF"/>
    <w:rsid w:val="00B62B58"/>
    <w:rsid w:val="00B65149"/>
    <w:rsid w:val="00B66567"/>
    <w:rsid w:val="00B66F52"/>
    <w:rsid w:val="00B66FE5"/>
    <w:rsid w:val="00B7079B"/>
    <w:rsid w:val="00B71159"/>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058C"/>
    <w:rsid w:val="00BD52D7"/>
    <w:rsid w:val="00BD5AD2"/>
    <w:rsid w:val="00BE22F3"/>
    <w:rsid w:val="00BE28C4"/>
    <w:rsid w:val="00BE30B8"/>
    <w:rsid w:val="00BE5B52"/>
    <w:rsid w:val="00BE7B8D"/>
    <w:rsid w:val="00BF0993"/>
    <w:rsid w:val="00BF10A9"/>
    <w:rsid w:val="00BF1703"/>
    <w:rsid w:val="00BF231C"/>
    <w:rsid w:val="00BF51E5"/>
    <w:rsid w:val="00BF74A6"/>
    <w:rsid w:val="00C013AD"/>
    <w:rsid w:val="00C04904"/>
    <w:rsid w:val="00C04C52"/>
    <w:rsid w:val="00C056B3"/>
    <w:rsid w:val="00C103E5"/>
    <w:rsid w:val="00C1144C"/>
    <w:rsid w:val="00C13319"/>
    <w:rsid w:val="00C13EE9"/>
    <w:rsid w:val="00C14064"/>
    <w:rsid w:val="00C17BEE"/>
    <w:rsid w:val="00C21540"/>
    <w:rsid w:val="00C21906"/>
    <w:rsid w:val="00C21BFA"/>
    <w:rsid w:val="00C24C8D"/>
    <w:rsid w:val="00C25FE2"/>
    <w:rsid w:val="00C26B53"/>
    <w:rsid w:val="00C279B2"/>
    <w:rsid w:val="00C33E50"/>
    <w:rsid w:val="00C34C20"/>
    <w:rsid w:val="00C35A3E"/>
    <w:rsid w:val="00C42130"/>
    <w:rsid w:val="00C423A4"/>
    <w:rsid w:val="00C44BF5"/>
    <w:rsid w:val="00C453AB"/>
    <w:rsid w:val="00C521D6"/>
    <w:rsid w:val="00C55232"/>
    <w:rsid w:val="00C553A4"/>
    <w:rsid w:val="00C55770"/>
    <w:rsid w:val="00C55A06"/>
    <w:rsid w:val="00C55D03"/>
    <w:rsid w:val="00C57961"/>
    <w:rsid w:val="00C601BC"/>
    <w:rsid w:val="00C60A3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3785"/>
    <w:rsid w:val="00CA662A"/>
    <w:rsid w:val="00CA7AFD"/>
    <w:rsid w:val="00CA7C3C"/>
    <w:rsid w:val="00CB0189"/>
    <w:rsid w:val="00CB0BA2"/>
    <w:rsid w:val="00CB1A42"/>
    <w:rsid w:val="00CB1B0C"/>
    <w:rsid w:val="00CB2C0B"/>
    <w:rsid w:val="00CB517D"/>
    <w:rsid w:val="00CC038D"/>
    <w:rsid w:val="00CC08DB"/>
    <w:rsid w:val="00CC2E7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789E"/>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1F21"/>
    <w:rsid w:val="00D126F5"/>
    <w:rsid w:val="00D1489E"/>
    <w:rsid w:val="00D20737"/>
    <w:rsid w:val="00D21E81"/>
    <w:rsid w:val="00D223DE"/>
    <w:rsid w:val="00D25E37"/>
    <w:rsid w:val="00D2661A"/>
    <w:rsid w:val="00D27582"/>
    <w:rsid w:val="00D27EC4"/>
    <w:rsid w:val="00D32719"/>
    <w:rsid w:val="00D33333"/>
    <w:rsid w:val="00D352A2"/>
    <w:rsid w:val="00D411D7"/>
    <w:rsid w:val="00D4162B"/>
    <w:rsid w:val="00D4514F"/>
    <w:rsid w:val="00D451E2"/>
    <w:rsid w:val="00D45E89"/>
    <w:rsid w:val="00D45E8D"/>
    <w:rsid w:val="00D466AE"/>
    <w:rsid w:val="00D4734F"/>
    <w:rsid w:val="00D51BF3"/>
    <w:rsid w:val="00D61E26"/>
    <w:rsid w:val="00D62C44"/>
    <w:rsid w:val="00D66846"/>
    <w:rsid w:val="00D675FB"/>
    <w:rsid w:val="00D71F25"/>
    <w:rsid w:val="00D724E2"/>
    <w:rsid w:val="00D72A9C"/>
    <w:rsid w:val="00D77031"/>
    <w:rsid w:val="00D84941"/>
    <w:rsid w:val="00D84FA1"/>
    <w:rsid w:val="00D851F0"/>
    <w:rsid w:val="00D86DB7"/>
    <w:rsid w:val="00D909AD"/>
    <w:rsid w:val="00D918D5"/>
    <w:rsid w:val="00D926D0"/>
    <w:rsid w:val="00D92D86"/>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1C01"/>
    <w:rsid w:val="00DC3067"/>
    <w:rsid w:val="00DC370B"/>
    <w:rsid w:val="00DC5B90"/>
    <w:rsid w:val="00DD00FF"/>
    <w:rsid w:val="00DD0619"/>
    <w:rsid w:val="00DD07FB"/>
    <w:rsid w:val="00DD25C6"/>
    <w:rsid w:val="00DD4FE5"/>
    <w:rsid w:val="00DD54B0"/>
    <w:rsid w:val="00DD57EE"/>
    <w:rsid w:val="00DD6BCC"/>
    <w:rsid w:val="00DE0A4B"/>
    <w:rsid w:val="00DE1D9B"/>
    <w:rsid w:val="00DE2410"/>
    <w:rsid w:val="00DE2939"/>
    <w:rsid w:val="00DE6E81"/>
    <w:rsid w:val="00DE703F"/>
    <w:rsid w:val="00DE7595"/>
    <w:rsid w:val="00DF1961"/>
    <w:rsid w:val="00DF44DE"/>
    <w:rsid w:val="00DF7513"/>
    <w:rsid w:val="00E01138"/>
    <w:rsid w:val="00E02DFB"/>
    <w:rsid w:val="00E030F9"/>
    <w:rsid w:val="00E0311A"/>
    <w:rsid w:val="00E03138"/>
    <w:rsid w:val="00E06404"/>
    <w:rsid w:val="00E11A85"/>
    <w:rsid w:val="00E12495"/>
    <w:rsid w:val="00E14F97"/>
    <w:rsid w:val="00E15CCD"/>
    <w:rsid w:val="00E202EF"/>
    <w:rsid w:val="00E210B5"/>
    <w:rsid w:val="00E254CD"/>
    <w:rsid w:val="00E2552F"/>
    <w:rsid w:val="00E3137A"/>
    <w:rsid w:val="00E32CCF"/>
    <w:rsid w:val="00E34A98"/>
    <w:rsid w:val="00E35D1E"/>
    <w:rsid w:val="00E364F9"/>
    <w:rsid w:val="00E365FA"/>
    <w:rsid w:val="00E36789"/>
    <w:rsid w:val="00E37AE5"/>
    <w:rsid w:val="00E41914"/>
    <w:rsid w:val="00E42DEC"/>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D9F"/>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2C59"/>
    <w:rsid w:val="00EC3602"/>
    <w:rsid w:val="00EC5359"/>
    <w:rsid w:val="00EC562A"/>
    <w:rsid w:val="00ED0106"/>
    <w:rsid w:val="00ED067A"/>
    <w:rsid w:val="00ED2B50"/>
    <w:rsid w:val="00EE0350"/>
    <w:rsid w:val="00EE0719"/>
    <w:rsid w:val="00EE0E80"/>
    <w:rsid w:val="00EE613F"/>
    <w:rsid w:val="00EE7295"/>
    <w:rsid w:val="00EE7869"/>
    <w:rsid w:val="00EF054A"/>
    <w:rsid w:val="00EF3235"/>
    <w:rsid w:val="00EF7E72"/>
    <w:rsid w:val="00F05878"/>
    <w:rsid w:val="00F06D37"/>
    <w:rsid w:val="00F07B9D"/>
    <w:rsid w:val="00F11586"/>
    <w:rsid w:val="00F1183B"/>
    <w:rsid w:val="00F11C9F"/>
    <w:rsid w:val="00F12263"/>
    <w:rsid w:val="00F1409D"/>
    <w:rsid w:val="00F14214"/>
    <w:rsid w:val="00F157A9"/>
    <w:rsid w:val="00F25BB6"/>
    <w:rsid w:val="00F26B7E"/>
    <w:rsid w:val="00F27A3B"/>
    <w:rsid w:val="00F3169A"/>
    <w:rsid w:val="00F33817"/>
    <w:rsid w:val="00F365A2"/>
    <w:rsid w:val="00F420D5"/>
    <w:rsid w:val="00F451EA"/>
    <w:rsid w:val="00F45447"/>
    <w:rsid w:val="00F456C6"/>
    <w:rsid w:val="00F4577B"/>
    <w:rsid w:val="00F4593B"/>
    <w:rsid w:val="00F46496"/>
    <w:rsid w:val="00F474D0"/>
    <w:rsid w:val="00F47D68"/>
    <w:rsid w:val="00F50179"/>
    <w:rsid w:val="00F515EE"/>
    <w:rsid w:val="00F54A1E"/>
    <w:rsid w:val="00F56511"/>
    <w:rsid w:val="00F6194E"/>
    <w:rsid w:val="00F623AC"/>
    <w:rsid w:val="00F6412A"/>
    <w:rsid w:val="00F65893"/>
    <w:rsid w:val="00F66A4A"/>
    <w:rsid w:val="00F71E22"/>
    <w:rsid w:val="00F72142"/>
    <w:rsid w:val="00F72AE7"/>
    <w:rsid w:val="00F77CA4"/>
    <w:rsid w:val="00F833BA"/>
    <w:rsid w:val="00F84FD0"/>
    <w:rsid w:val="00F859A8"/>
    <w:rsid w:val="00F8663B"/>
    <w:rsid w:val="00F86D87"/>
    <w:rsid w:val="00F9108B"/>
    <w:rsid w:val="00F91349"/>
    <w:rsid w:val="00F93A8A"/>
    <w:rsid w:val="00F95248"/>
    <w:rsid w:val="00F956A9"/>
    <w:rsid w:val="00F963ED"/>
    <w:rsid w:val="00F966CF"/>
    <w:rsid w:val="00F96CAE"/>
    <w:rsid w:val="00F97C99"/>
    <w:rsid w:val="00FA08B5"/>
    <w:rsid w:val="00FA662D"/>
    <w:rsid w:val="00FA73B1"/>
    <w:rsid w:val="00FB0CB9"/>
    <w:rsid w:val="00FB1DA3"/>
    <w:rsid w:val="00FB231D"/>
    <w:rsid w:val="00FB3F48"/>
    <w:rsid w:val="00FB45F1"/>
    <w:rsid w:val="00FB4A72"/>
    <w:rsid w:val="00FB54E8"/>
    <w:rsid w:val="00FB7054"/>
    <w:rsid w:val="00FC17B7"/>
    <w:rsid w:val="00FC2CB7"/>
    <w:rsid w:val="00FC4090"/>
    <w:rsid w:val="00FC55B4"/>
    <w:rsid w:val="00FC66D1"/>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21B12E9"/>
    <w:rsid w:val="21B30447"/>
    <w:rsid w:val="21B90890"/>
    <w:rsid w:val="261D2218"/>
    <w:rsid w:val="299B7BD0"/>
    <w:rsid w:val="2C2A6F85"/>
    <w:rsid w:val="37EC6177"/>
    <w:rsid w:val="491205EF"/>
    <w:rsid w:val="4A950BB5"/>
    <w:rsid w:val="57663944"/>
    <w:rsid w:val="61A76386"/>
    <w:rsid w:val="63354F06"/>
    <w:rsid w:val="6D9F1AEE"/>
    <w:rsid w:val="714E45CE"/>
    <w:rsid w:val="747E50B4"/>
    <w:rsid w:val="7AA06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8"/>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autoRedefine/>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7"/>
    <w:autoRedefine/>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autoRedefine/>
    <w:semiHidden/>
    <w:unhideWhenUsed/>
    <w:qFormat/>
    <w:uiPriority w:val="99"/>
    <w:rPr>
      <w:sz w:val="18"/>
      <w:szCs w:val="18"/>
    </w:rPr>
  </w:style>
  <w:style w:type="paragraph" w:styleId="18">
    <w:name w:val="footer"/>
    <w:basedOn w:val="1"/>
    <w:link w:val="45"/>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autoRedefine/>
    <w:qFormat/>
    <w:uiPriority w:val="22"/>
    <w:rPr>
      <w:b/>
      <w:bCs/>
    </w:rPr>
  </w:style>
  <w:style w:type="character" w:styleId="31">
    <w:name w:val="page number"/>
    <w:autoRedefine/>
    <w:qFormat/>
    <w:uiPriority w:val="0"/>
    <w:rPr>
      <w:rFonts w:ascii="宋体" w:hAnsi="Times New Roman" w:eastAsia="宋体"/>
      <w:sz w:val="18"/>
    </w:rPr>
  </w:style>
  <w:style w:type="character" w:styleId="32">
    <w:name w:val="Emphasis"/>
    <w:autoRedefine/>
    <w:qFormat/>
    <w:uiPriority w:val="20"/>
    <w:rPr>
      <w:i/>
      <w:iCs/>
    </w:rPr>
  </w:style>
  <w:style w:type="character" w:styleId="33">
    <w:name w:val="Hyperlink"/>
    <w:autoRedefine/>
    <w:qFormat/>
    <w:uiPriority w:val="99"/>
    <w:rPr>
      <w:rFonts w:ascii="宋体" w:hAnsi="Times New Roman" w:eastAsia="宋体"/>
      <w:color w:val="auto"/>
      <w:spacing w:val="0"/>
      <w:w w:val="100"/>
      <w:position w:val="0"/>
      <w:sz w:val="21"/>
      <w:u w:val="none"/>
      <w:vertAlign w:val="baseline"/>
    </w:rPr>
  </w:style>
  <w:style w:type="character" w:styleId="34">
    <w:name w:val="footnote reference"/>
    <w:autoRedefin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autoRedefine/>
    <w:qFormat/>
    <w:uiPriority w:val="0"/>
    <w:rPr>
      <w:rFonts w:ascii="Times New Roman" w:hAnsi="Times New Roman" w:eastAsia="宋体" w:cs="Times New Roman"/>
      <w:b/>
      <w:bCs/>
      <w:sz w:val="32"/>
      <w:szCs w:val="32"/>
    </w:rPr>
  </w:style>
  <w:style w:type="character" w:customStyle="1" w:styleId="38">
    <w:name w:val="标题 4 字符"/>
    <w:link w:val="5"/>
    <w:autoRedefine/>
    <w:qFormat/>
    <w:uiPriority w:val="0"/>
    <w:rPr>
      <w:rFonts w:ascii="Arial" w:hAnsi="Arial" w:eastAsia="黑体" w:cs="Times New Roman"/>
      <w:b/>
      <w:bCs/>
      <w:sz w:val="28"/>
      <w:szCs w:val="28"/>
    </w:rPr>
  </w:style>
  <w:style w:type="character" w:customStyle="1" w:styleId="39">
    <w:name w:val="标题 5 字符"/>
    <w:link w:val="6"/>
    <w:autoRedefine/>
    <w:qFormat/>
    <w:uiPriority w:val="0"/>
    <w:rPr>
      <w:rFonts w:ascii="Times New Roman" w:hAnsi="Times New Roman" w:eastAsia="宋体" w:cs="Times New Roman"/>
      <w:b/>
      <w:bCs/>
      <w:sz w:val="28"/>
      <w:szCs w:val="28"/>
    </w:rPr>
  </w:style>
  <w:style w:type="character" w:customStyle="1" w:styleId="40">
    <w:name w:val="标题 6 字符"/>
    <w:link w:val="7"/>
    <w:autoRedefine/>
    <w:qFormat/>
    <w:uiPriority w:val="0"/>
    <w:rPr>
      <w:rFonts w:ascii="Arial" w:hAnsi="Arial" w:eastAsia="黑体" w:cs="Times New Roman"/>
      <w:b/>
      <w:bCs/>
      <w:sz w:val="24"/>
      <w:szCs w:val="24"/>
    </w:rPr>
  </w:style>
  <w:style w:type="character" w:customStyle="1" w:styleId="41">
    <w:name w:val="标题 7 字符"/>
    <w:link w:val="8"/>
    <w:autoRedefine/>
    <w:qFormat/>
    <w:uiPriority w:val="0"/>
    <w:rPr>
      <w:rFonts w:ascii="Times New Roman" w:hAnsi="Times New Roman" w:eastAsia="宋体" w:cs="Times New Roman"/>
      <w:b/>
      <w:bCs/>
      <w:sz w:val="24"/>
      <w:szCs w:val="24"/>
    </w:rPr>
  </w:style>
  <w:style w:type="character" w:customStyle="1" w:styleId="42">
    <w:name w:val="标题 8 字符"/>
    <w:link w:val="9"/>
    <w:autoRedefine/>
    <w:qFormat/>
    <w:uiPriority w:val="0"/>
    <w:rPr>
      <w:rFonts w:ascii="Arial" w:hAnsi="Arial" w:eastAsia="黑体" w:cs="Times New Roman"/>
      <w:sz w:val="24"/>
      <w:szCs w:val="24"/>
    </w:rPr>
  </w:style>
  <w:style w:type="character" w:customStyle="1" w:styleId="43">
    <w:name w:val="标题 9 字符"/>
    <w:link w:val="10"/>
    <w:autoRedefine/>
    <w:qFormat/>
    <w:uiPriority w:val="0"/>
    <w:rPr>
      <w:rFonts w:ascii="Arial" w:hAnsi="Arial" w:eastAsia="黑体" w:cs="Times New Roman"/>
      <w:szCs w:val="21"/>
    </w:rPr>
  </w:style>
  <w:style w:type="character" w:customStyle="1" w:styleId="44">
    <w:name w:val="页眉 字符"/>
    <w:link w:val="19"/>
    <w:autoRedefine/>
    <w:qFormat/>
    <w:uiPriority w:val="99"/>
    <w:rPr>
      <w:rFonts w:ascii="Times New Roman" w:hAnsi="Times New Roman" w:eastAsia="宋体" w:cs="Times New Roman"/>
      <w:sz w:val="18"/>
      <w:szCs w:val="18"/>
    </w:rPr>
  </w:style>
  <w:style w:type="character" w:customStyle="1" w:styleId="45">
    <w:name w:val="页脚 字符"/>
    <w:link w:val="18"/>
    <w:autoRedefine/>
    <w:qFormat/>
    <w:uiPriority w:val="99"/>
    <w:rPr>
      <w:rFonts w:ascii="宋体" w:hAnsi="Times New Roman" w:eastAsia="宋体" w:cs="Times New Roman"/>
      <w:sz w:val="18"/>
      <w:szCs w:val="18"/>
    </w:rPr>
  </w:style>
  <w:style w:type="character" w:customStyle="1" w:styleId="46">
    <w:name w:val="批注框文本 字符"/>
    <w:link w:val="17"/>
    <w:autoRedefine/>
    <w:semiHidden/>
    <w:qFormat/>
    <w:uiPriority w:val="99"/>
    <w:rPr>
      <w:sz w:val="18"/>
      <w:szCs w:val="18"/>
    </w:rPr>
  </w:style>
  <w:style w:type="paragraph" w:styleId="47">
    <w:name w:val="Quote"/>
    <w:basedOn w:val="1"/>
    <w:next w:val="1"/>
    <w:link w:val="48"/>
    <w:autoRedefine/>
    <w:qFormat/>
    <w:uiPriority w:val="29"/>
    <w:rPr>
      <w:i/>
      <w:iCs/>
      <w:color w:val="000000"/>
    </w:rPr>
  </w:style>
  <w:style w:type="character" w:customStyle="1" w:styleId="48">
    <w:name w:val="引用 字符"/>
    <w:link w:val="47"/>
    <w:autoRedefine/>
    <w:qFormat/>
    <w:uiPriority w:val="29"/>
    <w:rPr>
      <w:i/>
      <w:iCs/>
      <w:color w:val="000000"/>
    </w:rPr>
  </w:style>
  <w:style w:type="character" w:customStyle="1" w:styleId="49">
    <w:name w:val="标题 字符"/>
    <w:link w:val="26"/>
    <w:autoRedefine/>
    <w:qFormat/>
    <w:uiPriority w:val="0"/>
    <w:rPr>
      <w:rFonts w:ascii="Arial" w:hAnsi="Arial" w:eastAsia="宋体" w:cs="Arial"/>
      <w:b/>
      <w:bCs/>
      <w:sz w:val="32"/>
      <w:szCs w:val="32"/>
    </w:rPr>
  </w:style>
  <w:style w:type="paragraph" w:customStyle="1" w:styleId="50">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autoRedefine/>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autoRedefine/>
    <w:qFormat/>
    <w:uiPriority w:val="0"/>
    <w:pPr>
      <w:spacing w:line="0" w:lineRule="atLeast"/>
    </w:pPr>
    <w:rPr>
      <w:rFonts w:ascii="黑体" w:hAnsi="宋体" w:eastAsia="黑体"/>
    </w:rPr>
  </w:style>
  <w:style w:type="paragraph" w:customStyle="1" w:styleId="56">
    <w:name w:val="标准文件_标准正文"/>
    <w:basedOn w:val="1"/>
    <w:next w:val="57"/>
    <w:autoRedefine/>
    <w:qFormat/>
    <w:uiPriority w:val="0"/>
    <w:pPr>
      <w:snapToGrid w:val="0"/>
      <w:ind w:firstLine="200" w:firstLineChars="200"/>
    </w:pPr>
    <w:rPr>
      <w:kern w:val="0"/>
    </w:rPr>
  </w:style>
  <w:style w:type="paragraph" w:customStyle="1" w:styleId="57">
    <w:name w:val="标准文件_段"/>
    <w:link w:val="185"/>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autoRedefine/>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autoRedefine/>
    <w:qFormat/>
    <w:uiPriority w:val="0"/>
    <w:pPr>
      <w:jc w:val="left"/>
    </w:pPr>
  </w:style>
  <w:style w:type="paragraph" w:customStyle="1" w:styleId="64">
    <w:name w:val="标准文件_参考文献标题"/>
    <w:basedOn w:val="1"/>
    <w:next w:val="1"/>
    <w:autoRedefine/>
    <w:qFormat/>
    <w:uiPriority w:val="0"/>
    <w:pPr>
      <w:widowControl/>
      <w:shd w:val="clear" w:color="FFFFFF" w:fill="FFFFFF"/>
      <w:adjustRightInd/>
      <w:spacing w:before="4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autoRedefine/>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autoRedefine/>
    <w:qFormat/>
    <w:uiPriority w:val="0"/>
    <w:pPr>
      <w:spacing w:line="240" w:lineRule="auto"/>
      <w:jc w:val="center"/>
    </w:pPr>
    <w:rPr>
      <w:rFonts w:ascii="黑体" w:eastAsia="黑体"/>
      <w:kern w:val="0"/>
      <w:sz w:val="52"/>
    </w:rPr>
  </w:style>
  <w:style w:type="paragraph" w:customStyle="1" w:styleId="72">
    <w:name w:val="标准文件_封面标准英文名称"/>
    <w:basedOn w:val="1"/>
    <w:autoRedefine/>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autoRedefine/>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autoRedefine/>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autoRedefine/>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autoRedefine/>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autoRedefine/>
    <w:qFormat/>
    <w:uiPriority w:val="0"/>
    <w:rPr>
      <w:rFonts w:ascii="Times New Roman" w:hAnsi="Times New Roman" w:eastAsia="宋体" w:cs="Times New Roman"/>
      <w:szCs w:val="20"/>
    </w:rPr>
  </w:style>
  <w:style w:type="paragraph" w:customStyle="1" w:styleId="88">
    <w:name w:val="标准文件_附录章标题"/>
    <w:next w:val="57"/>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autoRedefine/>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autoRedefine/>
    <w:qFormat/>
    <w:uiPriority w:val="0"/>
    <w:pPr>
      <w:spacing w:line="460" w:lineRule="exact"/>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autoRedefine/>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autoRedefine/>
    <w:qFormat/>
    <w:uiPriority w:val="31"/>
    <w:rPr>
      <w:smallCaps/>
      <w:color w:val="C0504D"/>
      <w:u w:val="single"/>
    </w:rPr>
  </w:style>
  <w:style w:type="paragraph" w:customStyle="1" w:styleId="97">
    <w:name w:val="标准文件_示例后续"/>
    <w:basedOn w:val="1"/>
    <w:autoRedefine/>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autoRedefine/>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autoRedefine/>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autoRedefine/>
    <w:qFormat/>
    <w:uiPriority w:val="0"/>
    <w:pPr>
      <w:spacing w:line="440" w:lineRule="exact"/>
      <w:jc w:val="center"/>
    </w:pPr>
    <w:rPr>
      <w:sz w:val="28"/>
    </w:rPr>
  </w:style>
  <w:style w:type="paragraph" w:customStyle="1" w:styleId="108">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autoRedefine/>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autoRedefine/>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0">
    <w:name w:val="发布部门"/>
    <w:next w:val="57"/>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autoRedefine/>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autoRedefine/>
    <w:qFormat/>
    <w:uiPriority w:val="0"/>
    <w:pPr>
      <w:numPr>
        <w:ilvl w:val="0"/>
        <w:numId w:val="21"/>
      </w:numPr>
      <w:tabs>
        <w:tab w:val="left" w:pos="851"/>
        <w:tab w:val="left" w:pos="2269"/>
      </w:tabs>
    </w:pPr>
    <w:rPr>
      <w:rFonts w:ascii="宋体" w:hAnsi="Times New Roman" w:eastAsia="宋体" w:cs="Times New Roman"/>
      <w:sz w:val="21"/>
      <w:lang w:val="en-US" w:eastAsia="zh-CN" w:bidi="ar-SA"/>
    </w:rPr>
  </w:style>
  <w:style w:type="paragraph" w:customStyle="1" w:styleId="134">
    <w:name w:val="附录五级无标题条"/>
    <w:basedOn w:val="131"/>
    <w:next w:val="57"/>
    <w:autoRedefine/>
    <w:qFormat/>
    <w:uiPriority w:val="0"/>
    <w:pPr>
      <w:outlineLvl w:val="6"/>
    </w:pPr>
  </w:style>
  <w:style w:type="paragraph" w:customStyle="1" w:styleId="135">
    <w:name w:val="附录性质"/>
    <w:basedOn w:val="1"/>
    <w:autoRedefine/>
    <w:qFormat/>
    <w:uiPriority w:val="0"/>
    <w:pPr>
      <w:widowControl/>
      <w:adjustRightInd/>
      <w:jc w:val="center"/>
    </w:pPr>
    <w:rPr>
      <w:rFonts w:ascii="黑体" w:eastAsia="黑体"/>
    </w:rPr>
  </w:style>
  <w:style w:type="paragraph" w:customStyle="1" w:styleId="136">
    <w:name w:val="附录一级无标题条"/>
    <w:basedOn w:val="88"/>
    <w:next w:val="57"/>
    <w:autoRedefine/>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autoRedefine/>
    <w:qFormat/>
    <w:uiPriority w:val="0"/>
    <w:pPr>
      <w:framePr w:wrap="around"/>
      <w:spacing w:line="0" w:lineRule="atLeast"/>
    </w:pPr>
    <w:rPr>
      <w:rFonts w:ascii="黑体" w:eastAsia="黑体"/>
      <w:b w:val="0"/>
    </w:rPr>
  </w:style>
  <w:style w:type="paragraph" w:customStyle="1" w:styleId="153">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7">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autoRedefine/>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autoRedefine/>
    <w:qFormat/>
    <w:uiPriority w:val="0"/>
    <w:pPr>
      <w:numPr>
        <w:ilvl w:val="6"/>
        <w:numId w:val="20"/>
      </w:numPr>
      <w:adjustRightInd/>
    </w:pPr>
    <w:rPr>
      <w:szCs w:val="24"/>
    </w:rPr>
  </w:style>
  <w:style w:type="paragraph" w:customStyle="1" w:styleId="160">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1">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autoRedefine/>
    <w:qFormat/>
    <w:uiPriority w:val="0"/>
    <w:pPr>
      <w:ind w:left="1406" w:leftChars="0" w:hanging="499" w:firstLineChars="0"/>
    </w:pPr>
  </w:style>
  <w:style w:type="paragraph" w:customStyle="1" w:styleId="163">
    <w:name w:val="标准文件_一级无标题"/>
    <w:basedOn w:val="106"/>
    <w:autoRedefine/>
    <w:qFormat/>
    <w:uiPriority w:val="0"/>
    <w:pPr>
      <w:spacing w:before="0" w:beforeLines="0" w:after="0" w:afterLines="0"/>
      <w:outlineLvl w:val="9"/>
    </w:pPr>
    <w:rPr>
      <w:rFonts w:ascii="宋体" w:eastAsia="宋体"/>
    </w:rPr>
  </w:style>
  <w:style w:type="paragraph" w:customStyle="1" w:styleId="164">
    <w:name w:val="标准文件_五级无标题"/>
    <w:basedOn w:val="104"/>
    <w:autoRedefine/>
    <w:qFormat/>
    <w:uiPriority w:val="0"/>
    <w:pPr>
      <w:spacing w:before="0" w:beforeLines="0" w:after="0" w:afterLines="0"/>
      <w:outlineLvl w:val="9"/>
    </w:pPr>
    <w:rPr>
      <w:rFonts w:ascii="宋体" w:eastAsia="宋体"/>
    </w:rPr>
  </w:style>
  <w:style w:type="paragraph" w:customStyle="1" w:styleId="165">
    <w:name w:val="标准文件_三级无标题"/>
    <w:basedOn w:val="95"/>
    <w:autoRedefine/>
    <w:qFormat/>
    <w:uiPriority w:val="0"/>
    <w:pPr>
      <w:spacing w:before="0" w:beforeLines="0" w:after="0" w:afterLines="0"/>
      <w:outlineLvl w:val="9"/>
    </w:pPr>
    <w:rPr>
      <w:rFonts w:ascii="宋体" w:eastAsia="宋体"/>
    </w:rPr>
  </w:style>
  <w:style w:type="paragraph" w:customStyle="1" w:styleId="166">
    <w:name w:val="标准文件_二级无标题"/>
    <w:basedOn w:val="66"/>
    <w:autoRedefine/>
    <w:qFormat/>
    <w:uiPriority w:val="0"/>
    <w:pPr>
      <w:spacing w:before="0" w:beforeLines="0" w:after="0" w:afterLines="0"/>
      <w:outlineLvl w:val="9"/>
    </w:pPr>
    <w:rPr>
      <w:rFonts w:ascii="宋体" w:eastAsia="宋体"/>
    </w:rPr>
  </w:style>
  <w:style w:type="paragraph" w:customStyle="1" w:styleId="167">
    <w:name w:val="标准_四级无标题"/>
    <w:basedOn w:val="99"/>
    <w:next w:val="57"/>
    <w:autoRedefine/>
    <w:qFormat/>
    <w:uiPriority w:val="0"/>
    <w:rPr>
      <w:rFonts w:eastAsia="宋体"/>
    </w:rPr>
  </w:style>
  <w:style w:type="paragraph" w:customStyle="1" w:styleId="168">
    <w:name w:val="标准文件_四级无标题"/>
    <w:basedOn w:val="99"/>
    <w:autoRedefine/>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autoRedefine/>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autoRedefine/>
    <w:qFormat/>
    <w:uiPriority w:val="0"/>
    <w:pPr>
      <w:numPr>
        <w:numId w:val="0"/>
      </w:numPr>
      <w:spacing w:after="280"/>
      <w:outlineLvl w:val="9"/>
    </w:pPr>
  </w:style>
  <w:style w:type="paragraph" w:customStyle="1" w:styleId="172">
    <w:name w:val="标准文件_二级项"/>
    <w:autoRedefine/>
    <w:qFormat/>
    <w:uiPriority w:val="0"/>
    <w:rPr>
      <w:rFonts w:ascii="宋体" w:hAnsi="Times New Roman" w:eastAsia="宋体" w:cs="Times New Roman"/>
      <w:sz w:val="21"/>
      <w:lang w:val="en-US" w:eastAsia="zh-CN" w:bidi="ar-SA"/>
    </w:rPr>
  </w:style>
  <w:style w:type="paragraph" w:customStyle="1" w:styleId="173">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autoRedefine/>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autoRedefine/>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autoRedefine/>
    <w:qFormat/>
    <w:uiPriority w:val="0"/>
    <w:pPr>
      <w:ind w:firstLine="0" w:firstLineChars="0"/>
      <w:jc w:val="center"/>
    </w:pPr>
    <w:rPr>
      <w:sz w:val="18"/>
    </w:rPr>
  </w:style>
  <w:style w:type="paragraph" w:customStyle="1" w:styleId="180">
    <w:name w:val="标准文件_注："/>
    <w:next w:val="57"/>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autoRedefine/>
    <w:qFormat/>
    <w:uiPriority w:val="0"/>
    <w:pPr>
      <w:ind w:firstLine="420"/>
    </w:pPr>
    <w:rPr>
      <w:sz w:val="18"/>
    </w:rPr>
  </w:style>
  <w:style w:type="paragraph" w:customStyle="1" w:styleId="184">
    <w:name w:val="标准文件_示例×："/>
    <w:basedOn w:val="1"/>
    <w:next w:val="183"/>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autoRedefine/>
    <w:qFormat/>
    <w:uiPriority w:val="0"/>
    <w:rPr>
      <w:rFonts w:ascii="宋体" w:hAnsi="Times New Roman"/>
      <w:sz w:val="21"/>
    </w:rPr>
  </w:style>
  <w:style w:type="paragraph" w:customStyle="1" w:styleId="186">
    <w:name w:val="标准文件_表格续"/>
    <w:basedOn w:val="57"/>
    <w:next w:val="57"/>
    <w:autoRedefine/>
    <w:qFormat/>
    <w:uiPriority w:val="0"/>
    <w:pPr>
      <w:jc w:val="center"/>
    </w:pPr>
    <w:rPr>
      <w:rFonts w:ascii="黑体" w:hAnsi="黑体" w:eastAsia="黑体"/>
    </w:rPr>
  </w:style>
  <w:style w:type="character" w:styleId="187">
    <w:name w:val="Placeholder Text"/>
    <w:basedOn w:val="29"/>
    <w:autoRedefine/>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autoRedefine/>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autoRedefine/>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autoRedefine/>
    <w:qFormat/>
    <w:uiPriority w:val="0"/>
    <w:pPr>
      <w:ind w:firstLine="420"/>
    </w:pPr>
    <w:rPr>
      <w:rFonts w:ascii="黑体" w:eastAsia="黑体"/>
    </w:rPr>
  </w:style>
  <w:style w:type="character" w:customStyle="1" w:styleId="192">
    <w:name w:val="标准文件_来源"/>
    <w:basedOn w:val="29"/>
    <w:autoRedefine/>
    <w:qFormat/>
    <w:uiPriority w:val="1"/>
    <w:rPr>
      <w:rFonts w:eastAsia="宋体"/>
      <w:sz w:val="21"/>
    </w:rPr>
  </w:style>
  <w:style w:type="paragraph" w:customStyle="1" w:styleId="193">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autoRedefine/>
    <w:qFormat/>
    <w:uiPriority w:val="0"/>
    <w:pPr>
      <w:framePr w:w="3997" w:h="471" w:hRule="exact" w:hSpace="0" w:vSpace="181" w:wrap="around" w:vAnchor="page" w:hAnchor="page" w:x="1419" w:y="14097"/>
    </w:pPr>
  </w:style>
  <w:style w:type="paragraph" w:customStyle="1" w:styleId="195">
    <w:name w:val="其他实施日期"/>
    <w:basedOn w:val="155"/>
    <w:autoRedefine/>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autoRedefine/>
    <w:qFormat/>
    <w:uiPriority w:val="0"/>
    <w:pPr>
      <w:spacing w:before="57"/>
    </w:pPr>
    <w:rPr>
      <w:sz w:val="21"/>
    </w:rPr>
  </w:style>
  <w:style w:type="paragraph" w:customStyle="1" w:styleId="198">
    <w:name w:val="标准文件_文件名称"/>
    <w:basedOn w:val="57"/>
    <w:next w:val="57"/>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autoRedefine/>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autoRedefine/>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autoRedefine/>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autoRedefine/>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autoRedefine/>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autoRedefine/>
    <w:qFormat/>
    <w:uiPriority w:val="0"/>
    <w:pPr>
      <w:ind w:left="811" w:firstLine="0" w:firstLineChars="0"/>
    </w:pPr>
    <w:rPr>
      <w:sz w:val="18"/>
    </w:rPr>
  </w:style>
  <w:style w:type="paragraph" w:customStyle="1" w:styleId="207">
    <w:name w:val="标准文件_注X后"/>
    <w:basedOn w:val="57"/>
    <w:autoRedefine/>
    <w:qFormat/>
    <w:uiPriority w:val="0"/>
    <w:pPr>
      <w:ind w:left="811" w:firstLine="0" w:firstLineChars="0"/>
    </w:pPr>
    <w:rPr>
      <w:sz w:val="18"/>
    </w:rPr>
  </w:style>
  <w:style w:type="paragraph" w:customStyle="1" w:styleId="208">
    <w:name w:val="标准文件_示例后"/>
    <w:basedOn w:val="57"/>
    <w:autoRedefine/>
    <w:qFormat/>
    <w:uiPriority w:val="0"/>
    <w:pPr>
      <w:ind w:left="964" w:firstLine="0" w:firstLineChars="0"/>
    </w:pPr>
    <w:rPr>
      <w:sz w:val="18"/>
    </w:rPr>
  </w:style>
  <w:style w:type="paragraph" w:customStyle="1" w:styleId="209">
    <w:name w:val="标准文件_示例X后"/>
    <w:basedOn w:val="57"/>
    <w:link w:val="210"/>
    <w:autoRedefine/>
    <w:qFormat/>
    <w:uiPriority w:val="0"/>
    <w:pPr>
      <w:ind w:left="1049" w:firstLine="0" w:firstLineChars="0"/>
    </w:pPr>
    <w:rPr>
      <w:sz w:val="18"/>
    </w:rPr>
  </w:style>
  <w:style w:type="character" w:customStyle="1" w:styleId="210">
    <w:name w:val="标准文件_示例X后 字符"/>
    <w:basedOn w:val="185"/>
    <w:link w:val="209"/>
    <w:autoRedefine/>
    <w:qFormat/>
    <w:uiPriority w:val="0"/>
    <w:rPr>
      <w:rFonts w:ascii="宋体" w:hAnsi="Times New Roman"/>
      <w:sz w:val="18"/>
    </w:rPr>
  </w:style>
  <w:style w:type="paragraph" w:customStyle="1" w:styleId="211">
    <w:name w:val="标准文件_索引项"/>
    <w:basedOn w:val="57"/>
    <w:next w:val="57"/>
    <w:autoRedefine/>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autoRedefine/>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autoRedefine/>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autoRedefine/>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autoRedefine/>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autoRedefine/>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autoRedefine/>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autoRedefine/>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autoRedefine/>
    <w:qFormat/>
    <w:uiPriority w:val="0"/>
    <w:rPr>
      <w:rFonts w:hAnsi="黑体"/>
    </w:rPr>
  </w:style>
  <w:style w:type="paragraph" w:customStyle="1" w:styleId="223">
    <w:name w:val="标准文件_脚注内容"/>
    <w:basedOn w:val="57"/>
    <w:autoRedefine/>
    <w:qFormat/>
    <w:uiPriority w:val="0"/>
    <w:pPr>
      <w:ind w:left="400" w:leftChars="200" w:hanging="200" w:hangingChars="200"/>
    </w:pPr>
    <w:rPr>
      <w:sz w:val="15"/>
    </w:rPr>
  </w:style>
  <w:style w:type="paragraph" w:customStyle="1" w:styleId="224">
    <w:name w:val="标准文件_术语条一"/>
    <w:basedOn w:val="163"/>
    <w:next w:val="57"/>
    <w:autoRedefine/>
    <w:qFormat/>
    <w:uiPriority w:val="0"/>
  </w:style>
  <w:style w:type="paragraph" w:customStyle="1" w:styleId="225">
    <w:name w:val="标准文件_术语条二"/>
    <w:basedOn w:val="166"/>
    <w:next w:val="57"/>
    <w:autoRedefine/>
    <w:qFormat/>
    <w:uiPriority w:val="0"/>
  </w:style>
  <w:style w:type="paragraph" w:customStyle="1" w:styleId="226">
    <w:name w:val="标准文件_术语条三"/>
    <w:basedOn w:val="165"/>
    <w:next w:val="57"/>
    <w:autoRedefine/>
    <w:qFormat/>
    <w:uiPriority w:val="0"/>
  </w:style>
  <w:style w:type="paragraph" w:customStyle="1" w:styleId="227">
    <w:name w:val="标准文件_术语条四"/>
    <w:basedOn w:val="168"/>
    <w:next w:val="57"/>
    <w:autoRedefine/>
    <w:qFormat/>
    <w:uiPriority w:val="0"/>
  </w:style>
  <w:style w:type="paragraph" w:customStyle="1" w:styleId="228">
    <w:name w:val="标准文件_术语条五"/>
    <w:basedOn w:val="164"/>
    <w:next w:val="57"/>
    <w:autoRedefine/>
    <w:qFormat/>
    <w:uiPriority w:val="0"/>
  </w:style>
  <w:style w:type="paragraph" w:customStyle="1" w:styleId="229">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autoRedefine/>
    <w:qFormat/>
    <w:uiPriority w:val="0"/>
    <w:rPr>
      <w:rFonts w:ascii="黑体" w:eastAsia="黑体"/>
      <w:spacing w:val="85"/>
      <w:w w:val="100"/>
      <w:position w:val="3"/>
      <w:sz w:val="28"/>
      <w:szCs w:val="28"/>
    </w:rPr>
  </w:style>
  <w:style w:type="paragraph" w:styleId="231">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0225;&#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9469776C89448A2B43122E6DC271097"/>
        <w:style w:val=""/>
        <w:category>
          <w:name w:val="常规"/>
          <w:gallery w:val="placeholder"/>
        </w:category>
        <w:types>
          <w:type w:val="bbPlcHdr"/>
        </w:types>
        <w:behaviors>
          <w:behavior w:val="content"/>
        </w:behaviors>
        <w:description w:val=""/>
        <w:guid w:val="{EE06CB6C-D85F-40DE-8063-E07B4F2CCEE2}"/>
      </w:docPartPr>
      <w:docPartBody>
        <w:p w14:paraId="67D0C77F">
          <w:pPr>
            <w:pStyle w:val="5"/>
            <w:rPr>
              <w:rFonts w:hint="eastAsia"/>
            </w:rPr>
          </w:pPr>
          <w:r>
            <w:rPr>
              <w:rStyle w:val="4"/>
              <w:rFonts w:hint="eastAsia"/>
            </w:rPr>
            <w:t>单击或点击此处输入文字。</w:t>
          </w:r>
        </w:p>
      </w:docPartBody>
    </w:docPart>
    <w:docPart>
      <w:docPartPr>
        <w:name w:val="D75C04156C194F97B64494BFB2C2418A"/>
        <w:style w:val=""/>
        <w:category>
          <w:name w:val="常规"/>
          <w:gallery w:val="placeholder"/>
        </w:category>
        <w:types>
          <w:type w:val="bbPlcHdr"/>
        </w:types>
        <w:behaviors>
          <w:behavior w:val="content"/>
        </w:behaviors>
        <w:description w:val=""/>
        <w:guid w:val="{9A1B4079-A5C0-4542-A8D0-A6E7A62C4544}"/>
      </w:docPartPr>
      <w:docPartBody>
        <w:p w14:paraId="6170973C">
          <w:pPr>
            <w:pStyle w:val="6"/>
            <w:rPr>
              <w:rFonts w:hint="eastAsia"/>
            </w:rPr>
          </w:pPr>
          <w:r>
            <w:rPr>
              <w:rStyle w:val="4"/>
              <w:rFonts w:hint="eastAsia"/>
            </w:rPr>
            <w:t>选择一项。</w:t>
          </w:r>
        </w:p>
      </w:docPartBody>
    </w:docPart>
    <w:docPart>
      <w:docPartPr>
        <w:name w:val="FE96F9369CFE4646A9E50AA5A706A441"/>
        <w:style w:val=""/>
        <w:category>
          <w:name w:val="常规"/>
          <w:gallery w:val="placeholder"/>
        </w:category>
        <w:types>
          <w:type w:val="bbPlcHdr"/>
        </w:types>
        <w:behaviors>
          <w:behavior w:val="content"/>
        </w:behaviors>
        <w:description w:val=""/>
        <w:guid w:val="{5B5E9FCF-B046-4F87-A16D-7F3597599A21}"/>
      </w:docPartPr>
      <w:docPartBody>
        <w:p w14:paraId="5FC6135E">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BBD"/>
    <w:rsid w:val="000E4062"/>
    <w:rsid w:val="000E62C6"/>
    <w:rsid w:val="00104B01"/>
    <w:rsid w:val="001178F7"/>
    <w:rsid w:val="00192174"/>
    <w:rsid w:val="00297DBC"/>
    <w:rsid w:val="002B11D8"/>
    <w:rsid w:val="002D4B59"/>
    <w:rsid w:val="00304EE1"/>
    <w:rsid w:val="003064E2"/>
    <w:rsid w:val="00354659"/>
    <w:rsid w:val="00383B42"/>
    <w:rsid w:val="00384E3B"/>
    <w:rsid w:val="0039718E"/>
    <w:rsid w:val="00430E31"/>
    <w:rsid w:val="00496B18"/>
    <w:rsid w:val="004B349B"/>
    <w:rsid w:val="004C134C"/>
    <w:rsid w:val="004F028F"/>
    <w:rsid w:val="00554385"/>
    <w:rsid w:val="005A5FDE"/>
    <w:rsid w:val="005F5F6D"/>
    <w:rsid w:val="00691FD4"/>
    <w:rsid w:val="0071643F"/>
    <w:rsid w:val="00741029"/>
    <w:rsid w:val="007C71D4"/>
    <w:rsid w:val="007E1B4F"/>
    <w:rsid w:val="00827089"/>
    <w:rsid w:val="00844B3F"/>
    <w:rsid w:val="0086721E"/>
    <w:rsid w:val="008C47A0"/>
    <w:rsid w:val="008D52FC"/>
    <w:rsid w:val="009E0F90"/>
    <w:rsid w:val="009F5833"/>
    <w:rsid w:val="00A1775E"/>
    <w:rsid w:val="00AD56D5"/>
    <w:rsid w:val="00B03BBD"/>
    <w:rsid w:val="00B30699"/>
    <w:rsid w:val="00BB4D56"/>
    <w:rsid w:val="00BD058C"/>
    <w:rsid w:val="00C05B9C"/>
    <w:rsid w:val="00D94B63"/>
    <w:rsid w:val="00DA7BFC"/>
    <w:rsid w:val="00DF0AE6"/>
    <w:rsid w:val="00E365E0"/>
    <w:rsid w:val="00E71152"/>
    <w:rsid w:val="00F1461E"/>
    <w:rsid w:val="00F51EAE"/>
    <w:rsid w:val="00F6097B"/>
    <w:rsid w:val="00FC5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9469776C89448A2B43122E6DC27109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D75C04156C194F97B64494BFB2C2418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FE96F9369CFE4646A9E50AA5A706A441"/>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AFDBB7-079B-4A4A-9B7C-82EBCF2CBEDE}">
  <ds:schemaRefs/>
</ds:datastoreItem>
</file>

<file path=docProps/app.xml><?xml version="1.0" encoding="utf-8"?>
<Properties xmlns="http://schemas.openxmlformats.org/officeDocument/2006/extended-properties" xmlns:vt="http://schemas.openxmlformats.org/officeDocument/2006/docPropsVTypes">
  <Template>企业标准</Template>
  <Company>PCMI</Company>
  <Pages>8</Pages>
  <Words>2733</Words>
  <Characters>2895</Characters>
  <Lines>114</Lines>
  <Paragraphs>152</Paragraphs>
  <TotalTime>76</TotalTime>
  <ScaleCrop>false</ScaleCrop>
  <LinksUpToDate>false</LinksUpToDate>
  <CharactersWithSpaces>2976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2024-01-10T16:27:00Z</dcterms:created>
  <dc:creator>风城</dc:creator>
  <dc:description>&lt;config cover="true" show_menu="true" version="1.0.0" doctype="SDKXY"&gt;_x000d_
&lt;/config&gt;</dc:description>
  <cp:lastModifiedBy>卿卿</cp:lastModifiedBy>
  <cp:lastPrinted>2025-04-04T08:17:00Z</cp:lastPrinted>
  <dcterms:modified xsi:type="dcterms:W3CDTF">2025-10-30T09:14:51Z</dcterms:modified>
  <dc:title>企业标准</dc:title>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8F2187DDA37348C2846B276F00AE2CC3_13</vt:lpwstr>
  </property>
  <property fmtid="{D5CDD505-2E9C-101B-9397-08002B2CF9AE}" pid="16" name="KSOTemplateDocerSaveRecord">
    <vt:lpwstr>eyJoZGlkIjoiNDNkM2E4ZjM0YzViMDA0NTEwNTQ4ZGE4NzRiYjEzMDUiLCJ1c2VySWQiOiI2OTMyMDg2NTUifQ==</vt:lpwstr>
  </property>
</Properties>
</file>